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EA998" w14:textId="77777777" w:rsidR="000C0BB9" w:rsidRDefault="000C0BB9">
      <w:pPr>
        <w:widowControl w:val="0"/>
        <w:autoSpaceDE w:val="0"/>
        <w:autoSpaceDN w:val="0"/>
        <w:adjustRightInd w:val="0"/>
        <w:spacing w:after="0" w:line="240" w:lineRule="auto"/>
        <w:rPr>
          <w:rFonts w:ascii="Times New Roman" w:hAnsi="Times New Roman" w:cs="Times New Roman"/>
          <w:kern w:val="0"/>
          <w:sz w:val="3"/>
          <w:szCs w:val="3"/>
        </w:rPr>
      </w:pPr>
    </w:p>
    <w:p w14:paraId="741D030F" w14:textId="77777777" w:rsidR="000C0BB9" w:rsidRDefault="000C0BB9">
      <w:pPr>
        <w:widowControl w:val="0"/>
        <w:tabs>
          <w:tab w:val="right" w:pos="12217"/>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LIBREVISION :</w:t>
      </w:r>
    </w:p>
    <w:p w14:paraId="180B444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347D62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5F0498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E4176F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07DD80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6D5F092" w14:textId="77777777" w:rsidR="000C0BB9" w:rsidRDefault="000C0BB9">
      <w:pPr>
        <w:widowControl w:val="0"/>
        <w:autoSpaceDE w:val="0"/>
        <w:autoSpaceDN w:val="0"/>
        <w:adjustRightInd w:val="0"/>
        <w:spacing w:after="0" w:line="240" w:lineRule="auto"/>
        <w:rPr>
          <w:rFonts w:ascii="Arial" w:hAnsi="Arial" w:cs="Arial"/>
          <w:color w:val="000000"/>
          <w:kern w:val="0"/>
          <w:sz w:val="9"/>
          <w:szCs w:val="9"/>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79C90280"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87ACAF5"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F71DF1D"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3E8923B1"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E2B1412" w14:textId="77777777" w:rsidR="000C0BB9" w:rsidRDefault="000C0BB9">
      <w:pPr>
        <w:widowControl w:val="0"/>
        <w:tabs>
          <w:tab w:val="left" w:pos="56"/>
          <w:tab w:val="left" w:pos="1434"/>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Révision : FDS_CLIENT-1-CLP du 20/03/2025</w:t>
      </w:r>
    </w:p>
    <w:p w14:paraId="45ADB70D" w14:textId="77777777" w:rsidR="000C0BB9" w:rsidRDefault="000C0BB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37"/>
      </w:tblGrid>
      <w:tr w:rsidR="001B35D9" w14:paraId="228BF6FE"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45456A0"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32"/>
                <w:szCs w:val="32"/>
              </w:rPr>
            </w:pPr>
            <w:r>
              <w:rPr>
                <w:rFonts w:ascii="Arial" w:hAnsi="Arial" w:cs="Arial"/>
                <w:b/>
                <w:bCs/>
                <w:color w:val="000000"/>
                <w:kern w:val="0"/>
                <w:sz w:val="32"/>
                <w:szCs w:val="32"/>
              </w:rPr>
              <w:t>FLEURS BLANCHES 7%</w:t>
            </w:r>
          </w:p>
        </w:tc>
      </w:tr>
    </w:tbl>
    <w:p w14:paraId="6E8F30F5" w14:textId="77777777" w:rsidR="000C0BB9" w:rsidRDefault="000C0BB9">
      <w:pPr>
        <w:widowControl w:val="0"/>
        <w:autoSpaceDE w:val="0"/>
        <w:autoSpaceDN w:val="0"/>
        <w:adjustRightInd w:val="0"/>
        <w:spacing w:after="0" w:line="240" w:lineRule="auto"/>
        <w:rPr>
          <w:rFonts w:ascii="Arial" w:hAnsi="Arial" w:cs="Arial"/>
          <w:b/>
          <w:bCs/>
          <w:color w:val="000000"/>
          <w:kern w:val="0"/>
          <w:sz w:val="12"/>
          <w:szCs w:val="12"/>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3036C481"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6561A2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 IDENTIFICATION DE LA SUBSTANCE/DU MELANGE ET DE LA SOCIETE/L'ENTREPRISE</w:t>
            </w:r>
          </w:p>
        </w:tc>
      </w:tr>
    </w:tbl>
    <w:p w14:paraId="401D5D6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1944E3F"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6C0E8AB8" w14:textId="77777777">
        <w:trPr>
          <w:trHeight w:hRule="exact" w:val="334"/>
        </w:trPr>
        <w:tc>
          <w:tcPr>
            <w:tcW w:w="9640" w:type="dxa"/>
            <w:tcBorders>
              <w:top w:val="nil"/>
              <w:left w:val="nil"/>
              <w:bottom w:val="nil"/>
              <w:right w:val="nil"/>
            </w:tcBorders>
            <w:shd w:val="clear" w:color="auto" w:fill="FFFFFF"/>
            <w:vAlign w:val="center"/>
          </w:tcPr>
          <w:p w14:paraId="718A91F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 Identificateur de produit</w:t>
            </w:r>
          </w:p>
        </w:tc>
      </w:tr>
    </w:tbl>
    <w:p w14:paraId="04EC948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30AD73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708B3A8E" w14:textId="1A172BB2" w:rsidR="000C0BB9" w:rsidRDefault="000C0BB9">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FLEURS BLANCHES 7%</w:t>
      </w:r>
    </w:p>
    <w:p w14:paraId="2E4EA4DB" w14:textId="77777777" w:rsidR="00CA4CCA" w:rsidRPr="00237AC8" w:rsidRDefault="00CA4CCA" w:rsidP="00CA4CCA">
      <w:pPr>
        <w:rPr>
          <w:rFonts w:ascii="Arial" w:hAnsi="Arial" w:cs="Arial"/>
          <w:b/>
          <w:bCs/>
          <w:color w:val="000000" w:themeColor="text1"/>
          <w:sz w:val="20"/>
          <w:szCs w:val="20"/>
        </w:rPr>
      </w:pPr>
      <w:r w:rsidRPr="00237AC8">
        <w:rPr>
          <w:rFonts w:ascii="Arial" w:hAnsi="Arial" w:cs="Arial"/>
          <w:b/>
          <w:bCs/>
          <w:color w:val="000000" w:themeColor="text1"/>
          <w:sz w:val="20"/>
          <w:szCs w:val="20"/>
        </w:rPr>
        <w:t>UFI : NON</w:t>
      </w:r>
    </w:p>
    <w:p w14:paraId="7D7DA448" w14:textId="77777777" w:rsidR="00CA4CCA" w:rsidRDefault="00CA4CCA">
      <w:pPr>
        <w:widowControl w:val="0"/>
        <w:autoSpaceDE w:val="0"/>
        <w:autoSpaceDN w:val="0"/>
        <w:adjustRightInd w:val="0"/>
        <w:spacing w:after="0" w:line="240" w:lineRule="auto"/>
        <w:rPr>
          <w:rFonts w:ascii="MS Shell Dlg" w:hAnsi="MS Shell Dlg" w:cs="MS Shell Dlg"/>
          <w:kern w:val="0"/>
          <w:sz w:val="17"/>
          <w:szCs w:val="17"/>
        </w:rPr>
      </w:pPr>
    </w:p>
    <w:p w14:paraId="28524376"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C88CAED" w14:textId="77777777">
        <w:trPr>
          <w:trHeight w:hRule="exact" w:val="334"/>
        </w:trPr>
        <w:tc>
          <w:tcPr>
            <w:tcW w:w="9640" w:type="dxa"/>
            <w:tcBorders>
              <w:top w:val="nil"/>
              <w:left w:val="nil"/>
              <w:bottom w:val="nil"/>
              <w:right w:val="nil"/>
            </w:tcBorders>
            <w:shd w:val="clear" w:color="auto" w:fill="FFFFFF"/>
            <w:vAlign w:val="center"/>
          </w:tcPr>
          <w:p w14:paraId="76F2D2A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 Utilisations identifiées pertinentes de la substance ou du mélange et utilisations déconseillées</w:t>
            </w:r>
          </w:p>
        </w:tc>
      </w:tr>
    </w:tbl>
    <w:p w14:paraId="06DDDA0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8017EDC"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9B0CD13" w14:textId="07715C59" w:rsidR="000C0BB9" w:rsidRPr="000475A2" w:rsidRDefault="000C0BB9" w:rsidP="000475A2">
      <w:pPr>
        <w:widowControl w:val="0"/>
        <w:autoSpaceDE w:val="0"/>
        <w:autoSpaceDN w:val="0"/>
        <w:adjustRightInd w:val="0"/>
        <w:spacing w:after="0" w:line="240" w:lineRule="auto"/>
        <w:jc w:val="both"/>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Usage</w:t>
      </w:r>
      <w:r>
        <w:rPr>
          <w:rFonts w:ascii="Verdana" w:hAnsi="Verdana" w:cs="Verdana"/>
          <w:color w:val="FFFFFF"/>
          <w:kern w:val="0"/>
          <w:sz w:val="17"/>
          <w:szCs w:val="17"/>
        </w:rPr>
        <w:tab/>
      </w:r>
      <w:r>
        <w:rPr>
          <w:rFonts w:ascii="Verdana" w:hAnsi="Verdana" w:cs="Verdana"/>
          <w:kern w:val="0"/>
          <w:sz w:val="17"/>
          <w:szCs w:val="17"/>
        </w:rPr>
        <w:t xml:space="preserve">:  </w:t>
      </w:r>
      <w:r w:rsidR="000475A2">
        <w:rPr>
          <w:rFonts w:ascii="Verdana" w:hAnsi="Verdana" w:cs="Verdana"/>
          <w:kern w:val="0"/>
          <w:sz w:val="17"/>
          <w:szCs w:val="17"/>
        </w:rPr>
        <w:t>Bougie parfumée.</w:t>
      </w:r>
    </w:p>
    <w:p w14:paraId="1EB82FCA"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8568127" w14:textId="77777777">
        <w:trPr>
          <w:trHeight w:hRule="exact" w:val="334"/>
        </w:trPr>
        <w:tc>
          <w:tcPr>
            <w:tcW w:w="9640" w:type="dxa"/>
            <w:tcBorders>
              <w:top w:val="nil"/>
              <w:left w:val="nil"/>
              <w:bottom w:val="nil"/>
              <w:right w:val="nil"/>
            </w:tcBorders>
            <w:shd w:val="clear" w:color="auto" w:fill="FFFFFF"/>
            <w:vAlign w:val="center"/>
          </w:tcPr>
          <w:p w14:paraId="1B0E22B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 Renseignements concernant le fournisseur de la fiche de données de sécurité</w:t>
            </w:r>
          </w:p>
        </w:tc>
      </w:tr>
    </w:tbl>
    <w:p w14:paraId="79A5714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AF6E4B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19EC6EA5" w14:textId="77777777" w:rsidR="00CA4CCA" w:rsidRPr="00237AC8" w:rsidRDefault="00CA4CCA" w:rsidP="00CA4CCA">
      <w:pPr>
        <w:spacing w:after="0" w:line="240" w:lineRule="auto"/>
        <w:rPr>
          <w:rFonts w:eastAsiaTheme="minorHAnsi"/>
          <w:b/>
          <w:bCs/>
          <w:color w:val="000000" w:themeColor="text1"/>
          <w:szCs w:val="20"/>
          <w:lang w:eastAsia="en-US"/>
        </w:rPr>
      </w:pPr>
      <w:bookmarkStart w:id="0" w:name="_Hlk104301758"/>
      <w:r w:rsidRPr="00237AC8">
        <w:rPr>
          <w:rFonts w:eastAsiaTheme="minorHAnsi"/>
          <w:b/>
          <w:bCs/>
          <w:color w:val="000000" w:themeColor="text1"/>
          <w:szCs w:val="20"/>
          <w:lang w:eastAsia="en-US"/>
        </w:rPr>
        <w:t>Fabricant :</w:t>
      </w:r>
    </w:p>
    <w:p w14:paraId="1E5D6C1C" w14:textId="77777777" w:rsidR="00CA4CCA" w:rsidRPr="00237AC8" w:rsidRDefault="00CA4CCA" w:rsidP="00CA4CCA">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[Nom de votre société]</w:t>
      </w:r>
    </w:p>
    <w:p w14:paraId="0109428C" w14:textId="77777777" w:rsidR="00CA4CCA" w:rsidRPr="00237AC8" w:rsidRDefault="00CA4CCA" w:rsidP="00CA4CCA">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[Adresse]</w:t>
      </w:r>
    </w:p>
    <w:p w14:paraId="5B4A9633" w14:textId="77777777" w:rsidR="00CA4CCA" w:rsidRPr="00237AC8" w:rsidRDefault="00CA4CCA" w:rsidP="00CA4CCA">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[Pays]</w:t>
      </w:r>
    </w:p>
    <w:p w14:paraId="57711C36" w14:textId="77777777" w:rsidR="00CA4CCA" w:rsidRPr="00237AC8" w:rsidRDefault="00CA4CCA" w:rsidP="00CA4CCA">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[Téléphone]</w:t>
      </w:r>
    </w:p>
    <w:p w14:paraId="29542853" w14:textId="77777777" w:rsidR="00CA4CCA" w:rsidRPr="00237AC8" w:rsidRDefault="00CA4CCA" w:rsidP="00CA4CCA">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[Mail]</w:t>
      </w:r>
    </w:p>
    <w:bookmarkEnd w:id="0"/>
    <w:p w14:paraId="4889DE1A"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C1A6522"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53F2468" w14:textId="77777777">
        <w:trPr>
          <w:trHeight w:hRule="exact" w:val="334"/>
        </w:trPr>
        <w:tc>
          <w:tcPr>
            <w:tcW w:w="9640" w:type="dxa"/>
            <w:tcBorders>
              <w:top w:val="nil"/>
              <w:left w:val="nil"/>
              <w:bottom w:val="nil"/>
              <w:right w:val="nil"/>
            </w:tcBorders>
            <w:shd w:val="clear" w:color="auto" w:fill="FFFFFF"/>
            <w:vAlign w:val="center"/>
          </w:tcPr>
          <w:p w14:paraId="4BA6B373"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 Numéro d'appel d'urgence</w:t>
            </w:r>
          </w:p>
        </w:tc>
      </w:tr>
    </w:tbl>
    <w:p w14:paraId="72649D9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8FFAF8F"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3FECFDA" w14:textId="05F3FFBE"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Téléphone en cas d’urgence (à utiliser par le médecin traitant) : </w:t>
      </w:r>
    </w:p>
    <w:p w14:paraId="01789BF1"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France : </w:t>
      </w:r>
    </w:p>
    <w:p w14:paraId="0B031371"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 de Nancy : + 33 (0)3 83 85 21 92</w:t>
      </w:r>
    </w:p>
    <w:p w14:paraId="100D93F2"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Belgique :</w:t>
      </w:r>
    </w:p>
    <w:p w14:paraId="73F16B3D"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+ 320 22 64 96 36</w:t>
      </w:r>
    </w:p>
    <w:p w14:paraId="0FABEDD3"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Luxembourg :</w:t>
      </w:r>
    </w:p>
    <w:p w14:paraId="51CF6DAD"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+ 352 24 78 55 51</w:t>
      </w:r>
    </w:p>
    <w:p w14:paraId="1DAF5E44"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p>
    <w:p w14:paraId="6BC01710"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4CC1A656"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341C22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2: IDENTIFICATION DES DANGERS</w:t>
            </w:r>
          </w:p>
        </w:tc>
      </w:tr>
    </w:tbl>
    <w:p w14:paraId="3C17011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992A780"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6AF2300A" w14:textId="77777777">
        <w:trPr>
          <w:trHeight w:hRule="exact" w:val="334"/>
        </w:trPr>
        <w:tc>
          <w:tcPr>
            <w:tcW w:w="9640" w:type="dxa"/>
            <w:tcBorders>
              <w:top w:val="nil"/>
              <w:left w:val="nil"/>
              <w:bottom w:val="nil"/>
              <w:right w:val="nil"/>
            </w:tcBorders>
            <w:shd w:val="clear" w:color="auto" w:fill="FFFFFF"/>
            <w:vAlign w:val="center"/>
          </w:tcPr>
          <w:p w14:paraId="6A30BDE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2.1. Classification de la substance ou du mélange</w:t>
            </w:r>
          </w:p>
        </w:tc>
      </w:tr>
    </w:tbl>
    <w:p w14:paraId="6829E9C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AF9E10A"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F3B187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29278E24" w14:textId="77777777" w:rsidR="000C0BB9" w:rsidRDefault="000C0BB9">
      <w:pPr>
        <w:widowControl w:val="0"/>
        <w:autoSpaceDE w:val="0"/>
        <w:autoSpaceDN w:val="0"/>
        <w:adjustRightInd w:val="0"/>
        <w:spacing w:after="0" w:line="240" w:lineRule="auto"/>
        <w:rPr>
          <w:rFonts w:ascii="Arial" w:hAnsi="Arial" w:cs="Arial"/>
          <w:color w:val="000000"/>
          <w:kern w:val="0"/>
          <w:sz w:val="8"/>
          <w:szCs w:val="8"/>
          <w:u w:val="single"/>
        </w:rPr>
      </w:pPr>
    </w:p>
    <w:p w14:paraId="6D84B1EC"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16AAA971"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18472E90" w14:textId="77777777" w:rsidR="000475A2" w:rsidRDefault="000C0BB9" w:rsidP="000475A2">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EUH208 - Contient methyl cedryl ketone (vertofix coeur), 2-(phenylmethylidene)octanal (alpha-hexyl cinnamaldehyde), benzyl 2-hydroxybenzoate (benzyl salicylate), 7-hydroxy-3,7-dimethyloctanal (hydroxycitronellal).  Peut produire une ré</w:t>
      </w:r>
      <w:r w:rsidR="000475A2">
        <w:rPr>
          <w:rFonts w:ascii="MS Shell Dlg" w:hAnsi="MS Shell Dlg" w:cs="MS Shell Dlg"/>
          <w:kern w:val="0"/>
          <w:sz w:val="17"/>
          <w:szCs w:val="17"/>
        </w:rPr>
        <w:t xml:space="preserve">action allergique  </w:t>
      </w:r>
    </w:p>
    <w:p w14:paraId="683D1CEA" w14:textId="4AA0DCE6" w:rsidR="000475A2" w:rsidRDefault="000475A2" w:rsidP="000475A2">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EUH210 - Fiche de données de sécurité disponible sur demande.</w:t>
      </w:r>
    </w:p>
    <w:p w14:paraId="6D2E381F" w14:textId="0B8B1B32"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p w14:paraId="212BE976"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CA8126F"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46D7F980"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668B80C9"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0D87E55"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5C733827"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1/11</w:t>
      </w:r>
    </w:p>
    <w:p w14:paraId="4B3E0FA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6EA56B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70CE83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5367CDA"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660610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A764AD8"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7BB546CD"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721EE06"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46A1284"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24554F76"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77D61EEE"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C6D9216"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BBE4017" w14:textId="0C6EF290" w:rsidR="000C0BB9" w:rsidRDefault="000C0BB9" w:rsidP="000475A2">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p>
    <w:p w14:paraId="5CAD866C"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2B8B08D" w14:textId="77777777">
        <w:trPr>
          <w:trHeight w:hRule="exact" w:val="334"/>
        </w:trPr>
        <w:tc>
          <w:tcPr>
            <w:tcW w:w="9640" w:type="dxa"/>
            <w:tcBorders>
              <w:top w:val="nil"/>
              <w:left w:val="nil"/>
              <w:bottom w:val="nil"/>
              <w:right w:val="nil"/>
            </w:tcBorders>
            <w:shd w:val="clear" w:color="auto" w:fill="FFFFFF"/>
            <w:vAlign w:val="center"/>
          </w:tcPr>
          <w:p w14:paraId="080AD5C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2.2. Éléments d'étiquetage</w:t>
            </w:r>
          </w:p>
        </w:tc>
      </w:tr>
    </w:tbl>
    <w:p w14:paraId="2259E8F7"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E4B1A1A"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235577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636A8D4F" w14:textId="77777777" w:rsidR="000C0BB9" w:rsidRDefault="000C0BB9">
      <w:pPr>
        <w:widowControl w:val="0"/>
        <w:autoSpaceDE w:val="0"/>
        <w:autoSpaceDN w:val="0"/>
        <w:adjustRightInd w:val="0"/>
        <w:spacing w:after="0" w:line="240" w:lineRule="auto"/>
        <w:rPr>
          <w:rFonts w:ascii="Arial" w:hAnsi="Arial" w:cs="Arial"/>
          <w:color w:val="000000"/>
          <w:kern w:val="0"/>
          <w:sz w:val="8"/>
          <w:szCs w:val="8"/>
          <w:u w:val="single"/>
        </w:rPr>
      </w:pPr>
    </w:p>
    <w:p w14:paraId="09BBF84E"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0B316B55"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5C521555" w14:textId="77777777" w:rsidR="000C0BB9" w:rsidRDefault="000C0BB9">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 xml:space="preserve">EUH208 - Contient methyl cedryl ketone (vertofix coeur), 2-(phenylmethylidene)octanal (alpha-hexyl cinnamaldehyde), benzyl 2-hydroxybenzoate (benzyl salicylate), 7-hydroxy-3,7-dimethyloctanal (hydroxycitronellal).  Peut produire une réaction allergique </w:t>
      </w:r>
    </w:p>
    <w:p w14:paraId="54094D72" w14:textId="77777777" w:rsidR="000C0BB9" w:rsidRDefault="000C0BB9">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EUH210 - Fiche de données de sécurité disponible sur demande.</w:t>
      </w:r>
    </w:p>
    <w:p w14:paraId="03ECFA04"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354018A3"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679CCEE" w14:textId="77777777">
        <w:trPr>
          <w:trHeight w:hRule="exact" w:val="334"/>
        </w:trPr>
        <w:tc>
          <w:tcPr>
            <w:tcW w:w="9640" w:type="dxa"/>
            <w:tcBorders>
              <w:top w:val="nil"/>
              <w:left w:val="nil"/>
              <w:bottom w:val="nil"/>
              <w:right w:val="nil"/>
            </w:tcBorders>
            <w:shd w:val="clear" w:color="auto" w:fill="FFFFFF"/>
            <w:vAlign w:val="center"/>
          </w:tcPr>
          <w:p w14:paraId="76FDECF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2.3. Autres dangers</w:t>
            </w:r>
          </w:p>
        </w:tc>
      </w:tr>
    </w:tbl>
    <w:p w14:paraId="09B7754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E1B85E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0EBD517" w14:textId="77777777" w:rsidR="000C0BB9" w:rsidRDefault="000C0BB9">
      <w:pPr>
        <w:widowControl w:val="0"/>
        <w:autoSpaceDE w:val="0"/>
        <w:autoSpaceDN w:val="0"/>
        <w:adjustRightInd w:val="0"/>
        <w:spacing w:after="0" w:line="240" w:lineRule="auto"/>
        <w:rPr>
          <w:rFonts w:ascii="Arial" w:hAnsi="Arial" w:cs="Arial"/>
          <w:color w:val="000000"/>
          <w:kern w:val="0"/>
          <w:sz w:val="6"/>
          <w:szCs w:val="6"/>
        </w:rPr>
      </w:pPr>
    </w:p>
    <w:p w14:paraId="525AB0B7" w14:textId="77777777" w:rsidR="000C0BB9" w:rsidRDefault="000C0BB9">
      <w:pPr>
        <w:widowControl w:val="0"/>
        <w:autoSpaceDE w:val="0"/>
        <w:autoSpaceDN w:val="0"/>
        <w:adjustRightInd w:val="0"/>
        <w:spacing w:after="0" w:line="240" w:lineRule="auto"/>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 xml:space="preserve">Ne contient aucun composant listé </w:t>
      </w:r>
    </w:p>
    <w:p w14:paraId="7C3A42C1" w14:textId="77777777" w:rsidR="000C0BB9" w:rsidRDefault="000C0BB9">
      <w:pPr>
        <w:widowControl w:val="0"/>
        <w:autoSpaceDE w:val="0"/>
        <w:autoSpaceDN w:val="0"/>
        <w:adjustRightInd w:val="0"/>
        <w:spacing w:after="0" w:line="240" w:lineRule="auto"/>
        <w:rPr>
          <w:rFonts w:ascii="Verdana" w:hAnsi="Verdana" w:cs="Verdana"/>
          <w:color w:val="FFFFFF"/>
          <w:kern w:val="0"/>
          <w:sz w:val="16"/>
          <w:szCs w:val="16"/>
        </w:rPr>
      </w:pPr>
    </w:p>
    <w:p w14:paraId="621FE3FE" w14:textId="77777777" w:rsidR="000C0BB9" w:rsidRDefault="000C0BB9">
      <w:pPr>
        <w:widowControl w:val="0"/>
        <w:autoSpaceDE w:val="0"/>
        <w:autoSpaceDN w:val="0"/>
        <w:adjustRightInd w:val="0"/>
        <w:spacing w:after="0" w:line="240" w:lineRule="auto"/>
        <w:rPr>
          <w:rFonts w:ascii="Verdana" w:hAnsi="Verdana" w:cs="Verdana"/>
          <w:color w:val="FFFFFF"/>
          <w:kern w:val="0"/>
          <w:sz w:val="16"/>
          <w:szCs w:val="16"/>
        </w:rPr>
      </w:pPr>
      <w:r>
        <w:rPr>
          <w:rFonts w:ascii="Verdana" w:hAnsi="Verdana" w:cs="Verdana"/>
          <w:kern w:val="0"/>
          <w:sz w:val="16"/>
          <w:szCs w:val="16"/>
        </w:rPr>
        <w:t xml:space="preserve">Non applicable </w:t>
      </w:r>
    </w:p>
    <w:p w14:paraId="7C7A671A"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67414D0B"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ED25CD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3: COMPOSITION/INFORMATIONS SUR LES COMPOSANTS</w:t>
            </w:r>
          </w:p>
        </w:tc>
      </w:tr>
    </w:tbl>
    <w:p w14:paraId="4F35993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643438B"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9C91F60" w14:textId="77777777">
        <w:trPr>
          <w:trHeight w:hRule="exact" w:val="334"/>
        </w:trPr>
        <w:tc>
          <w:tcPr>
            <w:tcW w:w="9640" w:type="dxa"/>
            <w:tcBorders>
              <w:top w:val="nil"/>
              <w:left w:val="nil"/>
              <w:bottom w:val="nil"/>
              <w:right w:val="nil"/>
            </w:tcBorders>
            <w:shd w:val="clear" w:color="auto" w:fill="FFFFFF"/>
            <w:vAlign w:val="center"/>
          </w:tcPr>
          <w:p w14:paraId="6D831BA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3.1. Substances</w:t>
            </w:r>
          </w:p>
        </w:tc>
      </w:tr>
    </w:tbl>
    <w:p w14:paraId="13C57ED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A9EE2B5"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C6BF7DE" w14:textId="77777777" w:rsidR="000C0BB9" w:rsidRDefault="000C0BB9">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Produit non concerné par la liste de composants.</w:t>
      </w:r>
    </w:p>
    <w:p w14:paraId="3510EFBE"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5CA1BAC"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1594728C" w14:textId="77777777" w:rsidR="000C0BB9" w:rsidRDefault="000C0BB9">
      <w:pPr>
        <w:widowControl w:val="0"/>
        <w:autoSpaceDE w:val="0"/>
        <w:autoSpaceDN w:val="0"/>
        <w:adjustRightInd w:val="0"/>
        <w:spacing w:after="0" w:line="240" w:lineRule="auto"/>
        <w:rPr>
          <w:rFonts w:ascii="Times New Roman" w:hAnsi="Times New Roman" w:cs="Times New Roman"/>
          <w:kern w:val="0"/>
          <w:sz w:val="8"/>
          <w:szCs w:val="8"/>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1510558" w14:textId="77777777">
        <w:trPr>
          <w:trHeight w:hRule="exact" w:val="334"/>
        </w:trPr>
        <w:tc>
          <w:tcPr>
            <w:tcW w:w="9640" w:type="dxa"/>
            <w:tcBorders>
              <w:top w:val="nil"/>
              <w:left w:val="nil"/>
              <w:bottom w:val="nil"/>
              <w:right w:val="nil"/>
            </w:tcBorders>
            <w:shd w:val="clear" w:color="auto" w:fill="FFFFFF"/>
            <w:vAlign w:val="center"/>
          </w:tcPr>
          <w:p w14:paraId="7AFB2F43"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3.2. Mélanges</w:t>
            </w:r>
          </w:p>
        </w:tc>
      </w:tr>
    </w:tbl>
    <w:p w14:paraId="6C46B8F0" w14:textId="77777777" w:rsidR="000C0BB9" w:rsidRDefault="000C0BB9">
      <w:pPr>
        <w:widowControl w:val="0"/>
        <w:autoSpaceDE w:val="0"/>
        <w:autoSpaceDN w:val="0"/>
        <w:adjustRightInd w:val="0"/>
        <w:spacing w:after="0" w:line="240" w:lineRule="auto"/>
        <w:rPr>
          <w:rFonts w:ascii="Arial" w:hAnsi="Arial" w:cs="Arial"/>
          <w:color w:val="000000"/>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1506"/>
        <w:gridCol w:w="2740"/>
        <w:gridCol w:w="28"/>
        <w:gridCol w:w="2362"/>
        <w:gridCol w:w="28"/>
        <w:gridCol w:w="2065"/>
        <w:gridCol w:w="28"/>
        <w:gridCol w:w="891"/>
      </w:tblGrid>
      <w:tr w:rsidR="001B35D9" w14:paraId="78E626DD" w14:textId="77777777">
        <w:trPr>
          <w:trHeight w:hRule="exact" w:val="487"/>
        </w:trPr>
        <w:tc>
          <w:tcPr>
            <w:tcW w:w="1506" w:type="dxa"/>
            <w:tcBorders>
              <w:top w:val="single" w:sz="6" w:space="0" w:color="000000"/>
              <w:left w:val="single" w:sz="6" w:space="0" w:color="000000"/>
              <w:bottom w:val="single" w:sz="6" w:space="0" w:color="000000"/>
              <w:right w:val="nil"/>
            </w:tcBorders>
            <w:shd w:val="clear" w:color="auto" w:fill="auto"/>
            <w:vAlign w:val="center"/>
          </w:tcPr>
          <w:p w14:paraId="7031C353"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Numéro d'identification</w:t>
            </w:r>
          </w:p>
        </w:tc>
        <w:tc>
          <w:tcPr>
            <w:tcW w:w="2740" w:type="dxa"/>
            <w:tcBorders>
              <w:top w:val="single" w:sz="6" w:space="0" w:color="000000"/>
              <w:left w:val="single" w:sz="6" w:space="0" w:color="000000"/>
              <w:bottom w:val="single" w:sz="6" w:space="0" w:color="000000"/>
              <w:right w:val="nil"/>
            </w:tcBorders>
            <w:shd w:val="clear" w:color="auto" w:fill="auto"/>
            <w:vAlign w:val="center"/>
          </w:tcPr>
          <w:p w14:paraId="401F35F9"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Substance</w:t>
            </w:r>
          </w:p>
        </w:tc>
        <w:tc>
          <w:tcPr>
            <w:tcW w:w="19" w:type="dxa"/>
            <w:tcBorders>
              <w:top w:val="nil"/>
              <w:left w:val="nil"/>
              <w:bottom w:val="nil"/>
              <w:right w:val="nil"/>
            </w:tcBorders>
          </w:tcPr>
          <w:p w14:paraId="08665DD0" w14:textId="77777777" w:rsidR="000C0BB9" w:rsidRDefault="000C0BB9">
            <w:pPr>
              <w:widowControl w:val="0"/>
              <w:autoSpaceDE w:val="0"/>
              <w:autoSpaceDN w:val="0"/>
              <w:adjustRightInd w:val="0"/>
              <w:spacing w:after="0" w:line="240" w:lineRule="auto"/>
              <w:jc w:val="center"/>
              <w:rPr>
                <w:rFonts w:ascii="Times New Roman" w:hAnsi="Times New Roman" w:cs="Times New Roman"/>
                <w:kern w:val="0"/>
              </w:rPr>
            </w:pPr>
          </w:p>
        </w:tc>
        <w:tc>
          <w:tcPr>
            <w:tcW w:w="2362" w:type="dxa"/>
            <w:tcBorders>
              <w:top w:val="single" w:sz="6" w:space="0" w:color="000000"/>
              <w:left w:val="single" w:sz="6" w:space="0" w:color="000000"/>
              <w:bottom w:val="single" w:sz="6" w:space="0" w:color="000000"/>
              <w:right w:val="nil"/>
            </w:tcBorders>
            <w:shd w:val="clear" w:color="auto" w:fill="auto"/>
            <w:vAlign w:val="center"/>
          </w:tcPr>
          <w:p w14:paraId="5A29AB8F"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Classes danger &amp; Phrases H</w:t>
            </w:r>
          </w:p>
        </w:tc>
        <w:tc>
          <w:tcPr>
            <w:tcW w:w="9" w:type="dxa"/>
            <w:tcBorders>
              <w:top w:val="nil"/>
              <w:left w:val="nil"/>
              <w:bottom w:val="nil"/>
              <w:right w:val="nil"/>
            </w:tcBorders>
          </w:tcPr>
          <w:p w14:paraId="0BA7733B" w14:textId="77777777" w:rsidR="000C0BB9" w:rsidRDefault="000C0BB9">
            <w:pPr>
              <w:widowControl w:val="0"/>
              <w:autoSpaceDE w:val="0"/>
              <w:autoSpaceDN w:val="0"/>
              <w:adjustRightInd w:val="0"/>
              <w:spacing w:after="0" w:line="240" w:lineRule="auto"/>
              <w:jc w:val="center"/>
              <w:rPr>
                <w:rFonts w:ascii="Times New Roman" w:hAnsi="Times New Roman" w:cs="Times New Roman"/>
                <w:kern w:val="0"/>
              </w:rPr>
            </w:pPr>
          </w:p>
        </w:tc>
        <w:tc>
          <w:tcPr>
            <w:tcW w:w="2065" w:type="dxa"/>
            <w:tcBorders>
              <w:top w:val="single" w:sz="6" w:space="0" w:color="000000"/>
              <w:left w:val="single" w:sz="6" w:space="0" w:color="000000"/>
              <w:bottom w:val="single" w:sz="6" w:space="0" w:color="000000"/>
              <w:right w:val="nil"/>
            </w:tcBorders>
            <w:shd w:val="clear" w:color="auto" w:fill="auto"/>
            <w:vAlign w:val="center"/>
          </w:tcPr>
          <w:p w14:paraId="31FC4F96"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LCS / Facteurs M / ATE</w:t>
            </w:r>
          </w:p>
        </w:tc>
        <w:tc>
          <w:tcPr>
            <w:tcW w:w="15" w:type="dxa"/>
            <w:tcBorders>
              <w:top w:val="nil"/>
              <w:left w:val="nil"/>
              <w:bottom w:val="nil"/>
              <w:right w:val="nil"/>
            </w:tcBorders>
          </w:tcPr>
          <w:p w14:paraId="37860D54" w14:textId="77777777" w:rsidR="000C0BB9" w:rsidRDefault="000C0BB9">
            <w:pPr>
              <w:widowControl w:val="0"/>
              <w:autoSpaceDE w:val="0"/>
              <w:autoSpaceDN w:val="0"/>
              <w:adjustRightInd w:val="0"/>
              <w:spacing w:after="0" w:line="240" w:lineRule="auto"/>
              <w:jc w:val="center"/>
              <w:rPr>
                <w:rFonts w:ascii="Times New Roman" w:hAnsi="Times New Roman" w:cs="Times New Roman"/>
                <w:kern w:val="0"/>
              </w:rPr>
            </w:pPr>
          </w:p>
        </w:tc>
        <w:tc>
          <w:tcPr>
            <w:tcW w:w="89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CBA0F35" w14:textId="77777777" w:rsidR="000C0BB9" w:rsidRDefault="000C0BB9">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Pourcentage %</w:t>
            </w:r>
          </w:p>
        </w:tc>
      </w:tr>
      <w:tr w:rsidR="001B35D9" w14:paraId="788AB98D"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306DD87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101-86-0</w:t>
            </w:r>
          </w:p>
          <w:p w14:paraId="0116CB9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202-983-3</w:t>
            </w:r>
          </w:p>
          <w:p w14:paraId="628E133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01-2119533092-50-XXXX</w:t>
            </w:r>
          </w:p>
        </w:tc>
        <w:tc>
          <w:tcPr>
            <w:tcW w:w="2740" w:type="dxa"/>
            <w:tcBorders>
              <w:top w:val="single" w:sz="6" w:space="0" w:color="C0C0C0"/>
              <w:left w:val="single" w:sz="6" w:space="0" w:color="C0C0C0"/>
              <w:bottom w:val="single" w:sz="6" w:space="0" w:color="C0C0C0"/>
              <w:right w:val="nil"/>
            </w:tcBorders>
            <w:shd w:val="clear" w:color="auto" w:fill="auto"/>
          </w:tcPr>
          <w:p w14:paraId="7F83DBE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2-(phenylmethylidene)octanal (alpha-hexyl cinnamaldehyde)</w:t>
            </w:r>
          </w:p>
        </w:tc>
        <w:tc>
          <w:tcPr>
            <w:tcW w:w="19" w:type="dxa"/>
            <w:tcBorders>
              <w:top w:val="nil"/>
              <w:left w:val="nil"/>
              <w:bottom w:val="nil"/>
              <w:right w:val="nil"/>
            </w:tcBorders>
          </w:tcPr>
          <w:p w14:paraId="009817B2"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65D1B4FE"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CA4CCA">
              <w:rPr>
                <w:rFonts w:ascii="Times New Roman" w:hAnsi="Times New Roman" w:cs="Times New Roman"/>
                <w:kern w:val="0"/>
                <w:lang w:val="en-US"/>
              </w:rPr>
              <w:tab/>
            </w:r>
            <w:r w:rsidRPr="00CA4CCA">
              <w:rPr>
                <w:rFonts w:ascii="Arial" w:hAnsi="Arial" w:cs="Arial"/>
                <w:color w:val="000000"/>
                <w:kern w:val="0"/>
                <w:sz w:val="14"/>
                <w:szCs w:val="14"/>
                <w:lang w:val="en-US"/>
              </w:rPr>
              <w:t>Aquatic Acute 1, Aquatic Chronic 2, Skin Sens. 1B</w:t>
            </w:r>
          </w:p>
          <w:p w14:paraId="3919705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H400, H411, H317</w:t>
            </w:r>
          </w:p>
        </w:tc>
        <w:tc>
          <w:tcPr>
            <w:tcW w:w="9" w:type="dxa"/>
            <w:tcBorders>
              <w:top w:val="nil"/>
              <w:left w:val="nil"/>
              <w:bottom w:val="nil"/>
              <w:right w:val="nil"/>
            </w:tcBorders>
          </w:tcPr>
          <w:p w14:paraId="1FF83092"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0F6C1EE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w:t>
            </w:r>
          </w:p>
        </w:tc>
        <w:tc>
          <w:tcPr>
            <w:tcW w:w="15" w:type="dxa"/>
            <w:tcBorders>
              <w:top w:val="nil"/>
              <w:left w:val="nil"/>
              <w:bottom w:val="nil"/>
              <w:right w:val="nil"/>
            </w:tcBorders>
          </w:tcPr>
          <w:p w14:paraId="41E9E01A"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44472607" w14:textId="77777777" w:rsidR="000C0BB9" w:rsidRDefault="000C0BB9">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1B35D9" w14:paraId="1A244389"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CFD3C5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107-75-5</w:t>
            </w:r>
          </w:p>
          <w:p w14:paraId="1A01125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203-518-7</w:t>
            </w:r>
          </w:p>
          <w:p w14:paraId="3629CF7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01-2119973482-31-XXXX</w:t>
            </w:r>
          </w:p>
        </w:tc>
        <w:tc>
          <w:tcPr>
            <w:tcW w:w="2740" w:type="dxa"/>
            <w:tcBorders>
              <w:top w:val="single" w:sz="6" w:space="0" w:color="C0C0C0"/>
              <w:left w:val="single" w:sz="6" w:space="0" w:color="C0C0C0"/>
              <w:bottom w:val="single" w:sz="6" w:space="0" w:color="C0C0C0"/>
              <w:right w:val="nil"/>
            </w:tcBorders>
            <w:shd w:val="clear" w:color="auto" w:fill="auto"/>
          </w:tcPr>
          <w:p w14:paraId="7D0856E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7-hydroxy-3,7-dimethyloctanal (hydroxycitronellal)</w:t>
            </w:r>
          </w:p>
        </w:tc>
        <w:tc>
          <w:tcPr>
            <w:tcW w:w="19" w:type="dxa"/>
            <w:tcBorders>
              <w:top w:val="nil"/>
              <w:left w:val="nil"/>
              <w:bottom w:val="nil"/>
              <w:right w:val="nil"/>
            </w:tcBorders>
          </w:tcPr>
          <w:p w14:paraId="43FBAE5E"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295D381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Skin Sens. 1B</w:t>
            </w:r>
          </w:p>
          <w:p w14:paraId="783ECD48"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H317</w:t>
            </w:r>
          </w:p>
        </w:tc>
        <w:tc>
          <w:tcPr>
            <w:tcW w:w="9" w:type="dxa"/>
            <w:tcBorders>
              <w:top w:val="nil"/>
              <w:left w:val="nil"/>
              <w:bottom w:val="nil"/>
              <w:right w:val="nil"/>
            </w:tcBorders>
          </w:tcPr>
          <w:p w14:paraId="1C564310"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345772B0" w14:textId="77777777" w:rsidR="000C0BB9" w:rsidRDefault="000C0BB9">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19D7946B" w14:textId="77777777" w:rsidR="000C0BB9" w:rsidRDefault="000C0BB9">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7E659579" w14:textId="77777777" w:rsidR="000C0BB9" w:rsidRDefault="000C0BB9">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1B35D9" w14:paraId="31C8C817"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C3FACE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118-58-1</w:t>
            </w:r>
          </w:p>
          <w:p w14:paraId="31D99E8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204-262-9</w:t>
            </w:r>
          </w:p>
          <w:p w14:paraId="04A32492"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01-2119969442-31-XXXX</w:t>
            </w:r>
          </w:p>
        </w:tc>
        <w:tc>
          <w:tcPr>
            <w:tcW w:w="2740" w:type="dxa"/>
            <w:tcBorders>
              <w:top w:val="single" w:sz="6" w:space="0" w:color="C0C0C0"/>
              <w:left w:val="single" w:sz="6" w:space="0" w:color="C0C0C0"/>
              <w:bottom w:val="single" w:sz="6" w:space="0" w:color="C0C0C0"/>
              <w:right w:val="nil"/>
            </w:tcBorders>
            <w:shd w:val="clear" w:color="auto" w:fill="auto"/>
          </w:tcPr>
          <w:p w14:paraId="01BE96C3"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benzyl 2-hydroxybenzoate (benzyl salicylate)</w:t>
            </w:r>
          </w:p>
        </w:tc>
        <w:tc>
          <w:tcPr>
            <w:tcW w:w="19" w:type="dxa"/>
            <w:tcBorders>
              <w:top w:val="nil"/>
              <w:left w:val="nil"/>
              <w:bottom w:val="nil"/>
              <w:right w:val="nil"/>
            </w:tcBorders>
          </w:tcPr>
          <w:p w14:paraId="07AA6047"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2E3C486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Aquatic Chronic 3, Skin Sens. 1B</w:t>
            </w:r>
          </w:p>
          <w:p w14:paraId="59B37D1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H412, H317</w:t>
            </w:r>
          </w:p>
        </w:tc>
        <w:tc>
          <w:tcPr>
            <w:tcW w:w="9" w:type="dxa"/>
            <w:tcBorders>
              <w:top w:val="nil"/>
              <w:left w:val="nil"/>
              <w:bottom w:val="nil"/>
              <w:right w:val="nil"/>
            </w:tcBorders>
          </w:tcPr>
          <w:p w14:paraId="55D3B855"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36538187" w14:textId="77777777" w:rsidR="000C0BB9" w:rsidRDefault="000C0BB9">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3C9CDA0E" w14:textId="77777777" w:rsidR="000C0BB9" w:rsidRDefault="000C0BB9">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686625E6" w14:textId="77777777" w:rsidR="000C0BB9" w:rsidRDefault="000C0BB9">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1B35D9" w14:paraId="34EEA009"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EB0E488"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120-51-4</w:t>
            </w:r>
          </w:p>
          <w:p w14:paraId="633C2ED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204-402-9</w:t>
            </w:r>
          </w:p>
          <w:p w14:paraId="16DEBF10"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01-2119976371-33-XXXX</w:t>
            </w:r>
          </w:p>
        </w:tc>
        <w:tc>
          <w:tcPr>
            <w:tcW w:w="2740" w:type="dxa"/>
            <w:tcBorders>
              <w:top w:val="single" w:sz="6" w:space="0" w:color="C0C0C0"/>
              <w:left w:val="single" w:sz="6" w:space="0" w:color="C0C0C0"/>
              <w:bottom w:val="single" w:sz="6" w:space="0" w:color="C0C0C0"/>
              <w:right w:val="nil"/>
            </w:tcBorders>
            <w:shd w:val="clear" w:color="auto" w:fill="auto"/>
          </w:tcPr>
          <w:p w14:paraId="7A54761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benzyl benzoate</w:t>
            </w:r>
          </w:p>
        </w:tc>
        <w:tc>
          <w:tcPr>
            <w:tcW w:w="19" w:type="dxa"/>
            <w:tcBorders>
              <w:top w:val="nil"/>
              <w:left w:val="nil"/>
              <w:bottom w:val="nil"/>
              <w:right w:val="nil"/>
            </w:tcBorders>
          </w:tcPr>
          <w:p w14:paraId="15425F4B"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2E4E7020"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CA4CCA">
              <w:rPr>
                <w:rFonts w:ascii="Times New Roman" w:hAnsi="Times New Roman" w:cs="Times New Roman"/>
                <w:kern w:val="0"/>
                <w:lang w:val="en-US"/>
              </w:rPr>
              <w:tab/>
            </w:r>
            <w:r w:rsidRPr="00CA4CCA">
              <w:rPr>
                <w:rFonts w:ascii="Arial" w:hAnsi="Arial" w:cs="Arial"/>
                <w:color w:val="000000"/>
                <w:kern w:val="0"/>
                <w:sz w:val="14"/>
                <w:szCs w:val="14"/>
                <w:lang w:val="en-US"/>
              </w:rPr>
              <w:t>Acute Tox. 4, Aquatic Acute 1, Aquatic Chronic 2</w:t>
            </w:r>
          </w:p>
          <w:p w14:paraId="1230581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H302, H400, H411</w:t>
            </w:r>
          </w:p>
        </w:tc>
        <w:tc>
          <w:tcPr>
            <w:tcW w:w="9" w:type="dxa"/>
            <w:tcBorders>
              <w:top w:val="nil"/>
              <w:left w:val="nil"/>
              <w:bottom w:val="nil"/>
              <w:right w:val="nil"/>
            </w:tcBorders>
          </w:tcPr>
          <w:p w14:paraId="63B02360"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7749FC7A"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lang w:val="it-IT"/>
              </w:rPr>
            </w:pPr>
            <w:r w:rsidRPr="00CA4CCA">
              <w:rPr>
                <w:rFonts w:ascii="Times New Roman" w:hAnsi="Times New Roman" w:cs="Times New Roman"/>
                <w:kern w:val="0"/>
                <w:lang w:val="it-IT"/>
              </w:rPr>
              <w:tab/>
            </w:r>
            <w:r w:rsidRPr="00CA4CCA">
              <w:rPr>
                <w:rFonts w:ascii="Arial" w:hAnsi="Arial" w:cs="Arial"/>
                <w:color w:val="000000"/>
                <w:kern w:val="0"/>
                <w:sz w:val="14"/>
                <w:szCs w:val="14"/>
                <w:lang w:val="it-IT"/>
              </w:rPr>
              <w:t>EHA1 (M=1)</w:t>
            </w:r>
          </w:p>
          <w:p w14:paraId="6C67D605"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lang w:val="it-IT"/>
              </w:rPr>
            </w:pPr>
            <w:r w:rsidRPr="00CA4CCA">
              <w:rPr>
                <w:rFonts w:ascii="Arial" w:hAnsi="Arial" w:cs="Arial"/>
                <w:color w:val="000000"/>
                <w:kern w:val="0"/>
                <w:sz w:val="14"/>
                <w:szCs w:val="14"/>
                <w:lang w:val="it-IT"/>
              </w:rPr>
              <w:t>ATE (Orale) : 1160mg/kg</w:t>
            </w:r>
          </w:p>
        </w:tc>
        <w:tc>
          <w:tcPr>
            <w:tcW w:w="15" w:type="dxa"/>
            <w:tcBorders>
              <w:top w:val="nil"/>
              <w:left w:val="nil"/>
              <w:bottom w:val="nil"/>
              <w:right w:val="nil"/>
            </w:tcBorders>
          </w:tcPr>
          <w:p w14:paraId="668A67D7" w14:textId="77777777" w:rsidR="000C0BB9" w:rsidRPr="00CA4CCA" w:rsidRDefault="000C0BB9">
            <w:pPr>
              <w:widowControl w:val="0"/>
              <w:tabs>
                <w:tab w:val="left" w:pos="56"/>
              </w:tabs>
              <w:autoSpaceDE w:val="0"/>
              <w:autoSpaceDN w:val="0"/>
              <w:adjustRightInd w:val="0"/>
              <w:spacing w:after="0" w:line="240" w:lineRule="auto"/>
              <w:rPr>
                <w:rFonts w:ascii="Times New Roman" w:hAnsi="Times New Roman" w:cs="Times New Roman"/>
                <w:kern w:val="0"/>
                <w:lang w:val="it-IT"/>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66BE7DD7" w14:textId="77777777" w:rsidR="000C0BB9" w:rsidRDefault="000C0BB9">
            <w:pPr>
              <w:widowControl w:val="0"/>
              <w:tabs>
                <w:tab w:val="right" w:pos="834"/>
              </w:tabs>
              <w:autoSpaceDE w:val="0"/>
              <w:autoSpaceDN w:val="0"/>
              <w:adjustRightInd w:val="0"/>
              <w:spacing w:after="0" w:line="240" w:lineRule="auto"/>
              <w:rPr>
                <w:rFonts w:ascii="Arial" w:hAnsi="Arial" w:cs="Arial"/>
                <w:color w:val="000000"/>
                <w:kern w:val="0"/>
                <w:sz w:val="14"/>
                <w:szCs w:val="14"/>
              </w:rPr>
            </w:pPr>
            <w:r w:rsidRPr="00CA4CCA">
              <w:rPr>
                <w:rFonts w:ascii="Times New Roman" w:hAnsi="Times New Roman" w:cs="Times New Roman"/>
                <w:kern w:val="0"/>
                <w:lang w:val="it-IT"/>
              </w:rPr>
              <w:tab/>
            </w:r>
            <w:r>
              <w:rPr>
                <w:rFonts w:ascii="Arial" w:hAnsi="Arial" w:cs="Arial"/>
                <w:color w:val="000000"/>
                <w:kern w:val="0"/>
                <w:sz w:val="14"/>
                <w:szCs w:val="14"/>
              </w:rPr>
              <w:t>[ 0-5 ]</w:t>
            </w:r>
          </w:p>
        </w:tc>
      </w:tr>
    </w:tbl>
    <w:p w14:paraId="417E4792" w14:textId="77777777" w:rsidR="000C0BB9" w:rsidRDefault="000C0BB9">
      <w:pPr>
        <w:widowControl w:val="0"/>
        <w:autoSpaceDE w:val="0"/>
        <w:autoSpaceDN w:val="0"/>
        <w:adjustRightInd w:val="0"/>
        <w:spacing w:after="0" w:line="240" w:lineRule="auto"/>
        <w:rPr>
          <w:rFonts w:ascii="Arial" w:hAnsi="Arial" w:cs="Arial"/>
          <w:color w:val="000000"/>
          <w:kern w:val="0"/>
          <w:sz w:val="14"/>
          <w:szCs w:val="14"/>
        </w:rPr>
      </w:pPr>
    </w:p>
    <w:p w14:paraId="248C7EC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CE7C6B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2BE7BE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0A4DDB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784A80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72E386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335D168" w14:textId="77777777" w:rsidR="000C0BB9" w:rsidRDefault="000C0BB9">
      <w:pPr>
        <w:widowControl w:val="0"/>
        <w:autoSpaceDE w:val="0"/>
        <w:autoSpaceDN w:val="0"/>
        <w:adjustRightInd w:val="0"/>
        <w:spacing w:after="0" w:line="240" w:lineRule="auto"/>
        <w:rPr>
          <w:rFonts w:ascii="Arial" w:hAnsi="Arial" w:cs="Arial"/>
          <w:color w:val="000000"/>
          <w:kern w:val="0"/>
          <w:sz w:val="13"/>
          <w:szCs w:val="13"/>
        </w:rPr>
      </w:pPr>
    </w:p>
    <w:p w14:paraId="62AF5966"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2/11</w:t>
      </w:r>
    </w:p>
    <w:p w14:paraId="7C0576F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78B2DF69"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131CA2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E24787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82DEEE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53212F7"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3EEFA37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D0E76C8"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0A5EA051"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6B38EA9C"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18D62CE"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28141D54" w14:textId="77777777" w:rsidR="000C0BB9" w:rsidRDefault="000C0BB9">
      <w:pPr>
        <w:widowControl w:val="0"/>
        <w:autoSpaceDE w:val="0"/>
        <w:autoSpaceDN w:val="0"/>
        <w:adjustRightInd w:val="0"/>
        <w:spacing w:after="0" w:line="240" w:lineRule="auto"/>
        <w:rPr>
          <w:rFonts w:ascii="Arial" w:hAnsi="Arial" w:cs="Arial"/>
          <w:color w:val="000000"/>
          <w:kern w:val="0"/>
          <w:sz w:val="5"/>
          <w:szCs w:val="5"/>
        </w:rPr>
      </w:pPr>
    </w:p>
    <w:tbl>
      <w:tblPr>
        <w:tblW w:w="0" w:type="auto"/>
        <w:tblInd w:w="8" w:type="dxa"/>
        <w:tblLayout w:type="fixed"/>
        <w:tblCellMar>
          <w:left w:w="0" w:type="dxa"/>
          <w:right w:w="0" w:type="dxa"/>
        </w:tblCellMar>
        <w:tblLook w:val="0000" w:firstRow="0" w:lastRow="0" w:firstColumn="0" w:lastColumn="0" w:noHBand="0" w:noVBand="0"/>
      </w:tblPr>
      <w:tblGrid>
        <w:gridCol w:w="1506"/>
        <w:gridCol w:w="2740"/>
        <w:gridCol w:w="28"/>
        <w:gridCol w:w="2362"/>
        <w:gridCol w:w="28"/>
        <w:gridCol w:w="2065"/>
        <w:gridCol w:w="28"/>
        <w:gridCol w:w="891"/>
      </w:tblGrid>
      <w:tr w:rsidR="001B35D9" w14:paraId="06B8B185"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26B5E49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32388-55-9</w:t>
            </w:r>
          </w:p>
          <w:p w14:paraId="2B0FB90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251-020-3</w:t>
            </w:r>
          </w:p>
          <w:p w14:paraId="153B2CC3"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01-2119969651-28-XXXX</w:t>
            </w:r>
          </w:p>
        </w:tc>
        <w:tc>
          <w:tcPr>
            <w:tcW w:w="2740" w:type="dxa"/>
            <w:tcBorders>
              <w:top w:val="single" w:sz="6" w:space="0" w:color="C0C0C0"/>
              <w:left w:val="single" w:sz="6" w:space="0" w:color="C0C0C0"/>
              <w:bottom w:val="single" w:sz="6" w:space="0" w:color="C0C0C0"/>
              <w:right w:val="nil"/>
            </w:tcBorders>
            <w:shd w:val="clear" w:color="auto" w:fill="auto"/>
          </w:tcPr>
          <w:p w14:paraId="1A30E86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methyl cedryl ketone (vertofix coeur)</w:t>
            </w:r>
          </w:p>
        </w:tc>
        <w:tc>
          <w:tcPr>
            <w:tcW w:w="19" w:type="dxa"/>
            <w:tcBorders>
              <w:top w:val="nil"/>
              <w:left w:val="nil"/>
              <w:bottom w:val="nil"/>
              <w:right w:val="nil"/>
            </w:tcBorders>
          </w:tcPr>
          <w:p w14:paraId="61518CE7"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10976050"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CA4CCA">
              <w:rPr>
                <w:rFonts w:ascii="Times New Roman" w:hAnsi="Times New Roman" w:cs="Times New Roman"/>
                <w:kern w:val="0"/>
                <w:lang w:val="en-US"/>
              </w:rPr>
              <w:tab/>
            </w:r>
            <w:r w:rsidRPr="00CA4CCA">
              <w:rPr>
                <w:rFonts w:ascii="Arial" w:hAnsi="Arial" w:cs="Arial"/>
                <w:color w:val="000000"/>
                <w:kern w:val="0"/>
                <w:sz w:val="14"/>
                <w:szCs w:val="14"/>
                <w:lang w:val="en-US"/>
              </w:rPr>
              <w:t>Aquatic Acute 1, Aquatic Chronic 1, Skin Sens. 1B</w:t>
            </w:r>
          </w:p>
          <w:p w14:paraId="1A56858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H400, H410, H317</w:t>
            </w:r>
          </w:p>
        </w:tc>
        <w:tc>
          <w:tcPr>
            <w:tcW w:w="9" w:type="dxa"/>
            <w:tcBorders>
              <w:top w:val="nil"/>
              <w:left w:val="nil"/>
              <w:bottom w:val="nil"/>
              <w:right w:val="nil"/>
            </w:tcBorders>
          </w:tcPr>
          <w:p w14:paraId="044D42D2"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23091D4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(M=1)EHC1 (M=1)</w:t>
            </w:r>
          </w:p>
        </w:tc>
        <w:tc>
          <w:tcPr>
            <w:tcW w:w="15" w:type="dxa"/>
            <w:tcBorders>
              <w:top w:val="nil"/>
              <w:left w:val="nil"/>
              <w:bottom w:val="nil"/>
              <w:right w:val="nil"/>
            </w:tcBorders>
          </w:tcPr>
          <w:p w14:paraId="2FB5D07D"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6D0C2A1E" w14:textId="77777777" w:rsidR="000C0BB9" w:rsidRDefault="000C0BB9">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bl>
    <w:p w14:paraId="767EEF17" w14:textId="77777777" w:rsidR="000C0BB9" w:rsidRDefault="000C0BB9">
      <w:pPr>
        <w:widowControl w:val="0"/>
        <w:autoSpaceDE w:val="0"/>
        <w:autoSpaceDN w:val="0"/>
        <w:adjustRightInd w:val="0"/>
        <w:spacing w:after="0" w:line="240" w:lineRule="auto"/>
        <w:rPr>
          <w:rFonts w:ascii="Arial" w:hAnsi="Arial" w:cs="Arial"/>
          <w:color w:val="000000"/>
          <w:kern w:val="0"/>
          <w:sz w:val="14"/>
          <w:szCs w:val="14"/>
        </w:rPr>
      </w:pPr>
    </w:p>
    <w:p w14:paraId="7EA732E6" w14:textId="77777777" w:rsidR="000C0BB9" w:rsidRDefault="000C0BB9">
      <w:pPr>
        <w:widowControl w:val="0"/>
        <w:autoSpaceDE w:val="0"/>
        <w:autoSpaceDN w:val="0"/>
        <w:adjustRightInd w:val="0"/>
        <w:spacing w:after="0" w:line="240" w:lineRule="auto"/>
        <w:rPr>
          <w:rFonts w:ascii="Arial" w:hAnsi="Arial" w:cs="Arial"/>
          <w:color w:val="000000"/>
          <w:kern w:val="0"/>
          <w:sz w:val="19"/>
          <w:szCs w:val="19"/>
        </w:rPr>
      </w:pPr>
    </w:p>
    <w:p w14:paraId="6F5890F8" w14:textId="77777777" w:rsidR="000C0BB9" w:rsidRDefault="000C0BB9">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 xml:space="preserve"> Composition : Mélange de matiéres premières aromatiques.</w:t>
      </w:r>
    </w:p>
    <w:p w14:paraId="33BE7E32"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37B110BB"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DFC00A2"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4: PREMIERS SECOURS</w:t>
            </w:r>
          </w:p>
        </w:tc>
      </w:tr>
    </w:tbl>
    <w:p w14:paraId="1EDBB38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D82CA22"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EE404AE" w14:textId="77777777">
        <w:trPr>
          <w:trHeight w:hRule="exact" w:val="334"/>
        </w:trPr>
        <w:tc>
          <w:tcPr>
            <w:tcW w:w="9640" w:type="dxa"/>
            <w:tcBorders>
              <w:top w:val="nil"/>
              <w:left w:val="nil"/>
              <w:bottom w:val="nil"/>
              <w:right w:val="nil"/>
            </w:tcBorders>
            <w:shd w:val="clear" w:color="auto" w:fill="FFFFFF"/>
            <w:vAlign w:val="center"/>
          </w:tcPr>
          <w:p w14:paraId="4D916BD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4.1. Description des mesures de premiers secours</w:t>
            </w:r>
          </w:p>
        </w:tc>
      </w:tr>
    </w:tbl>
    <w:p w14:paraId="6C9469AA"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4A69286"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54FEA95"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4.1.1. Informations générales:</w:t>
      </w:r>
    </w:p>
    <w:p w14:paraId="75E7300A"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Retirer immédiatement les vêtements contaminés. En cas d'accident ou de malaise, consulter immédiatement un médecin (si possible lui montrer les instructions d'emploi ou la fiche de données de sécurité).</w:t>
      </w:r>
    </w:p>
    <w:p w14:paraId="412AEEA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4.1.2. Après inhalation:</w:t>
      </w:r>
    </w:p>
    <w:p w14:paraId="2711B88F"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Transporter la victime hors de la zone contaminée et la garder au repos.</w:t>
      </w:r>
    </w:p>
    <w:p w14:paraId="6DE21B8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4.1.3. Après contact avec la peau:</w:t>
      </w:r>
    </w:p>
    <w:p w14:paraId="1646816E"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Laver immédiatement à l'eau et au savon. En cas d'irritation de la peau, consulter un médecin.</w:t>
      </w:r>
    </w:p>
    <w:p w14:paraId="29E010C9"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4.1.4. Après contact avec les yeux:</w:t>
      </w:r>
    </w:p>
    <w:p w14:paraId="13F0AED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Après contact avec les yeux, laver à l'eau en maintenant les paupières ouvertes pour une durée suffisamment longue, puis consulter immédiatement un ophtalmologiste.</w:t>
      </w:r>
    </w:p>
    <w:p w14:paraId="1370FE79"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4.1.5. Après ingestion:</w:t>
      </w:r>
    </w:p>
    <w:p w14:paraId="70DF258C"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En cas d'ingestion accidentelle, rincer abondamment la bouche avec de l'eau (seulement si la personne est consciente) et consulter immédiatement un médecin.</w:t>
      </w:r>
    </w:p>
    <w:p w14:paraId="3BB0518A"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4.1.6. Autoprotection du secouriste:</w:t>
      </w:r>
    </w:p>
    <w:p w14:paraId="7634E156"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Secouriste: faire attention à se protéger!</w:t>
      </w:r>
    </w:p>
    <w:p w14:paraId="65B5A803"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tbl>
      <w:tblPr>
        <w:tblW w:w="9640" w:type="dxa"/>
        <w:tblInd w:w="737" w:type="dxa"/>
        <w:tblLayout w:type="fixed"/>
        <w:tblCellMar>
          <w:left w:w="0" w:type="dxa"/>
          <w:right w:w="0" w:type="dxa"/>
        </w:tblCellMar>
        <w:tblLook w:val="0000" w:firstRow="0" w:lastRow="0" w:firstColumn="0" w:lastColumn="0" w:noHBand="0" w:noVBand="0"/>
      </w:tblPr>
      <w:tblGrid>
        <w:gridCol w:w="9640"/>
      </w:tblGrid>
      <w:tr w:rsidR="001B35D9" w14:paraId="51DF2209" w14:textId="77777777" w:rsidTr="000475A2">
        <w:trPr>
          <w:trHeight w:hRule="exact" w:val="334"/>
        </w:trPr>
        <w:tc>
          <w:tcPr>
            <w:tcW w:w="9640" w:type="dxa"/>
            <w:tcBorders>
              <w:top w:val="nil"/>
              <w:left w:val="nil"/>
              <w:bottom w:val="nil"/>
              <w:right w:val="nil"/>
            </w:tcBorders>
            <w:shd w:val="clear" w:color="auto" w:fill="FFFFFF"/>
            <w:vAlign w:val="center"/>
          </w:tcPr>
          <w:p w14:paraId="1B24124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4.2. Principaux symptômes et effets, aigus et différés</w:t>
            </w:r>
          </w:p>
        </w:tc>
      </w:tr>
    </w:tbl>
    <w:p w14:paraId="78299C17"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F5622FA"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688BE2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Tenir compte des phrases de risques et de sécurité.</w:t>
      </w:r>
    </w:p>
    <w:p w14:paraId="293F7783"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D90DA81" w14:textId="77777777">
        <w:trPr>
          <w:trHeight w:hRule="exact" w:val="334"/>
        </w:trPr>
        <w:tc>
          <w:tcPr>
            <w:tcW w:w="9640" w:type="dxa"/>
            <w:tcBorders>
              <w:top w:val="nil"/>
              <w:left w:val="nil"/>
              <w:bottom w:val="nil"/>
              <w:right w:val="nil"/>
            </w:tcBorders>
            <w:shd w:val="clear" w:color="auto" w:fill="FFFFFF"/>
            <w:vAlign w:val="center"/>
          </w:tcPr>
          <w:p w14:paraId="02D8ADD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4.3. Indication des éventuels soins médicaux immédiats et traitements particuliers nécessaires</w:t>
            </w:r>
          </w:p>
        </w:tc>
      </w:tr>
    </w:tbl>
    <w:p w14:paraId="3C50CB6F"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299395E"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Traitement spécifique: premier secours, traitement des symptômes.</w:t>
      </w:r>
    </w:p>
    <w:p w14:paraId="4B3A8F08"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Commentaires pour le médecin: traiter symptômatiquement.</w:t>
      </w:r>
    </w:p>
    <w:p w14:paraId="208E157B"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p>
    <w:p w14:paraId="05DAC590"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2211499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4D9C96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5: MESURES DE LUTTE CONTRE L'INCENDIE</w:t>
            </w:r>
          </w:p>
        </w:tc>
      </w:tr>
    </w:tbl>
    <w:p w14:paraId="0C4019E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22E0DFB"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6FA66C31" w14:textId="77777777">
        <w:trPr>
          <w:trHeight w:hRule="exact" w:val="334"/>
        </w:trPr>
        <w:tc>
          <w:tcPr>
            <w:tcW w:w="9640" w:type="dxa"/>
            <w:tcBorders>
              <w:top w:val="nil"/>
              <w:left w:val="nil"/>
              <w:bottom w:val="nil"/>
              <w:right w:val="nil"/>
            </w:tcBorders>
            <w:shd w:val="clear" w:color="auto" w:fill="FFFFFF"/>
            <w:vAlign w:val="center"/>
          </w:tcPr>
          <w:p w14:paraId="0BDB1AF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5.1. Moyens d’extinction</w:t>
            </w:r>
          </w:p>
        </w:tc>
      </w:tr>
    </w:tbl>
    <w:p w14:paraId="0D27D2BE"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BCC86E8" w14:textId="77777777" w:rsidR="000C0BB9" w:rsidRDefault="000C0BB9">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Moyens d'extinction appropriés: dioxyde de carbone (CO2), mousse, eau pulvérisée, poudre d'extinction sèche.</w:t>
      </w:r>
    </w:p>
    <w:p w14:paraId="006061DB" w14:textId="77777777" w:rsidR="000C0BB9" w:rsidRDefault="000C0BB9">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Méthodes d'extinction inappropriées: jet d'eau puissant.</w:t>
      </w:r>
    </w:p>
    <w:p w14:paraId="0C96AD6F" w14:textId="77777777" w:rsidR="000C0BB9" w:rsidRDefault="000C0BB9">
      <w:pPr>
        <w:widowControl w:val="0"/>
        <w:tabs>
          <w:tab w:val="left" w:pos="709"/>
        </w:tabs>
        <w:autoSpaceDE w:val="0"/>
        <w:autoSpaceDN w:val="0"/>
        <w:adjustRightInd w:val="0"/>
        <w:spacing w:after="0" w:line="240" w:lineRule="auto"/>
        <w:jc w:val="both"/>
        <w:rPr>
          <w:rFonts w:ascii="Arial" w:hAnsi="Arial" w:cs="Arial"/>
          <w:color w:val="FFFFFF"/>
          <w:kern w:val="0"/>
          <w:sz w:val="18"/>
          <w:szCs w:val="18"/>
        </w:rPr>
      </w:pPr>
    </w:p>
    <w:p w14:paraId="0186D964"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5599A58" w14:textId="77777777">
        <w:trPr>
          <w:trHeight w:hRule="exact" w:val="334"/>
        </w:trPr>
        <w:tc>
          <w:tcPr>
            <w:tcW w:w="9640" w:type="dxa"/>
            <w:tcBorders>
              <w:top w:val="nil"/>
              <w:left w:val="nil"/>
              <w:bottom w:val="nil"/>
              <w:right w:val="nil"/>
            </w:tcBorders>
            <w:shd w:val="clear" w:color="auto" w:fill="FFFFFF"/>
            <w:vAlign w:val="center"/>
          </w:tcPr>
          <w:p w14:paraId="2D4E713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5.2. Dangers particuliers résultant de la substance ou du mélange</w:t>
            </w:r>
          </w:p>
        </w:tc>
      </w:tr>
    </w:tbl>
    <w:p w14:paraId="0C7ECE6C"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Classe d'inflammabilité : le produit n'est pas inflammable.</w:t>
      </w:r>
    </w:p>
    <w:p w14:paraId="77C1B07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Refroidir à l'eau pulvérisée les récipients menacés. En cas d'incendie, des gaz nocifs peuvent se former. Ne pas les inhaler.</w:t>
      </w:r>
    </w:p>
    <w:p w14:paraId="5C9BBE0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Prévention : ne pas fumer. Pas de flamme nue.</w:t>
      </w:r>
    </w:p>
    <w:p w14:paraId="5DD571CC"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Produits de combustion dangereux: les produits de décomposition peuvent éventuellement comprendre les substances suivantes: </w:t>
      </w:r>
    </w:p>
    <w:p w14:paraId="607B90D9"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Arial" w:hAnsi="Arial" w:cs="Arial"/>
          <w:kern w:val="0"/>
          <w:sz w:val="16"/>
          <w:szCs w:val="16"/>
        </w:rPr>
        <w:t xml:space="preserve">- dioxyde de carbone                                                                                           </w:t>
      </w:r>
    </w:p>
    <w:p w14:paraId="7F70CAB1"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51CDDC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F756107"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51830CC"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7C14C11F"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4341B93F"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3/11</w:t>
      </w:r>
    </w:p>
    <w:p w14:paraId="4B6C90C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1EFC36C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CCD76F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15A787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6CC3BA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41A62DE"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07F04C5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34FD020"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8ACA076"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01948AF7"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AA3CCC5"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38F36D65"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6DB89A19"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                  </w:t>
      </w:r>
    </w:p>
    <w:p w14:paraId="5DFCAC3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monoxyde de carbone.</w:t>
      </w:r>
    </w:p>
    <w:p w14:paraId="4166981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L'eau d'extinction contaminée doit être collectée à part. Ne pas jeter dans les égouts ou les eaux de surface.</w:t>
      </w:r>
    </w:p>
    <w:p w14:paraId="17E46380"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6D288567"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75BE0DB" w14:textId="77777777">
        <w:trPr>
          <w:trHeight w:hRule="exact" w:val="334"/>
        </w:trPr>
        <w:tc>
          <w:tcPr>
            <w:tcW w:w="9640" w:type="dxa"/>
            <w:tcBorders>
              <w:top w:val="nil"/>
              <w:left w:val="nil"/>
              <w:bottom w:val="nil"/>
              <w:right w:val="nil"/>
            </w:tcBorders>
            <w:shd w:val="clear" w:color="auto" w:fill="FFFFFF"/>
            <w:vAlign w:val="center"/>
          </w:tcPr>
          <w:p w14:paraId="4692C35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5.3. Conseils aux pompiers</w:t>
            </w:r>
          </w:p>
        </w:tc>
      </w:tr>
    </w:tbl>
    <w:p w14:paraId="6ACDF0A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995E7E5"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6EE231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Équipement spécial de protection pour les pompiers: porter un appareil respiratoire autonome et des vêtements de protection contre les produits chimiques.</w:t>
      </w:r>
    </w:p>
    <w:p w14:paraId="18DE9A01"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1D3035A4"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EC6D6E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6: MESURES A PRENDRE EN CAS DE DISPERSION ACCIDENTELLE</w:t>
            </w:r>
          </w:p>
        </w:tc>
      </w:tr>
    </w:tbl>
    <w:p w14:paraId="5D868B8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DA28CD0"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7593D34" w14:textId="77777777">
        <w:trPr>
          <w:trHeight w:hRule="exact" w:val="334"/>
        </w:trPr>
        <w:tc>
          <w:tcPr>
            <w:tcW w:w="9640" w:type="dxa"/>
            <w:tcBorders>
              <w:top w:val="nil"/>
              <w:left w:val="nil"/>
              <w:bottom w:val="nil"/>
              <w:right w:val="nil"/>
            </w:tcBorders>
            <w:shd w:val="clear" w:color="auto" w:fill="FFFFFF"/>
            <w:vAlign w:val="center"/>
          </w:tcPr>
          <w:p w14:paraId="3000BCD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6.1. Précautions individuelles, équipement de protection et procédures d’urgence</w:t>
            </w:r>
          </w:p>
        </w:tc>
      </w:tr>
    </w:tbl>
    <w:p w14:paraId="118238B9"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6.1.1. Pour les non-secouristes:</w:t>
      </w:r>
    </w:p>
    <w:p w14:paraId="4BC6BB0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 équipement de protection individuel, voir rubrique 8.</w:t>
      </w:r>
    </w:p>
    <w:p w14:paraId="22016FEE"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6.1.2. Pour les intervenants d'urgence:</w:t>
      </w:r>
    </w:p>
    <w:p w14:paraId="2C2FD16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Mettre les personnes en sécurité. Isoler la zone de danger et empêcher l'accès. Aérer les espaces fermés avant d'entrer. Utiliser un équipement de protection individuel, voir section 8.</w:t>
      </w:r>
    </w:p>
    <w:p w14:paraId="7510C3F7"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1F3AD816"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738D0D8C" w14:textId="77777777">
        <w:trPr>
          <w:trHeight w:hRule="exact" w:val="334"/>
        </w:trPr>
        <w:tc>
          <w:tcPr>
            <w:tcW w:w="9640" w:type="dxa"/>
            <w:tcBorders>
              <w:top w:val="nil"/>
              <w:left w:val="nil"/>
              <w:bottom w:val="nil"/>
              <w:right w:val="nil"/>
            </w:tcBorders>
            <w:shd w:val="clear" w:color="auto" w:fill="FFFFFF"/>
            <w:vAlign w:val="center"/>
          </w:tcPr>
          <w:p w14:paraId="2F80997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6.2. Précautions pour la protection de l’environnement</w:t>
            </w:r>
          </w:p>
        </w:tc>
      </w:tr>
    </w:tbl>
    <w:p w14:paraId="12438D14"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487F11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Assurez-vous que les déversements peuvent être contenus, par exemple dans des puisards palette ou des zones de rétention. Ne pas laisser pénétrer dans les eaux de surface ou les égouts.</w:t>
      </w:r>
    </w:p>
    <w:p w14:paraId="2E37C08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8"/>
          <w:szCs w:val="18"/>
        </w:rPr>
      </w:pPr>
    </w:p>
    <w:p w14:paraId="7CC584B4"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4080F204"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1207882" w14:textId="77777777">
        <w:trPr>
          <w:trHeight w:hRule="exact" w:val="334"/>
        </w:trPr>
        <w:tc>
          <w:tcPr>
            <w:tcW w:w="9640" w:type="dxa"/>
            <w:tcBorders>
              <w:top w:val="nil"/>
              <w:left w:val="nil"/>
              <w:bottom w:val="nil"/>
              <w:right w:val="nil"/>
            </w:tcBorders>
            <w:shd w:val="clear" w:color="auto" w:fill="FFFFFF"/>
            <w:vAlign w:val="center"/>
          </w:tcPr>
          <w:p w14:paraId="2DD14A6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6.3. Méthodes et matériel de confinement et de nettoyage</w:t>
            </w:r>
          </w:p>
        </w:tc>
      </w:tr>
    </w:tbl>
    <w:p w14:paraId="65BBEF5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5D8B2F7"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1556A4F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Enlever avec un absorbant inerte (par exemple sable, gel de silice, agglomérant pour acide, agglomérant universel, sciure).</w:t>
      </w:r>
    </w:p>
    <w:p w14:paraId="38028B1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Eliminer comme déchet spécial conformément aux réglementations locales et nationales.</w:t>
      </w:r>
    </w:p>
    <w:p w14:paraId="549ECD8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6.3.1. Pour le confinement:</w:t>
      </w:r>
    </w:p>
    <w:p w14:paraId="6B3F2AD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Recueillir dans des récipients fermés et appropriés pour l'élimination.</w:t>
      </w:r>
    </w:p>
    <w:p w14:paraId="715AD3B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6.3.2. Pour le nettoyage:</w:t>
      </w:r>
    </w:p>
    <w:p w14:paraId="4479F9D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Nettoyer les objets et zones contaminés en observant soigneusement les réglementations environnementales.</w:t>
      </w:r>
    </w:p>
    <w:p w14:paraId="16736509"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6.3.3. Autre information:</w:t>
      </w:r>
    </w:p>
    <w:p w14:paraId="63F7C44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Aucune.</w:t>
      </w:r>
    </w:p>
    <w:p w14:paraId="2AF741BD"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72FD98C" w14:textId="77777777">
        <w:trPr>
          <w:trHeight w:hRule="exact" w:val="334"/>
        </w:trPr>
        <w:tc>
          <w:tcPr>
            <w:tcW w:w="9640" w:type="dxa"/>
            <w:tcBorders>
              <w:top w:val="nil"/>
              <w:left w:val="nil"/>
              <w:bottom w:val="nil"/>
              <w:right w:val="nil"/>
            </w:tcBorders>
            <w:shd w:val="clear" w:color="auto" w:fill="FFFFFF"/>
            <w:vAlign w:val="center"/>
          </w:tcPr>
          <w:p w14:paraId="6AA1AB2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6.4. Référence à d’autres rubriques</w:t>
            </w:r>
          </w:p>
        </w:tc>
      </w:tr>
    </w:tbl>
    <w:p w14:paraId="61B9BCA7"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D8748FB"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A0797C1"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Equipement de protection individuelle: voir la rubrique 8.</w:t>
      </w:r>
    </w:p>
    <w:p w14:paraId="5055A765"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0103B732"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0697A30E"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5C874721"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256F1C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7: MANIPULATION ET STOCKAGE</w:t>
            </w:r>
          </w:p>
        </w:tc>
      </w:tr>
    </w:tbl>
    <w:p w14:paraId="4CC0AF0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706BBF7"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72188938" w14:textId="77777777">
        <w:trPr>
          <w:trHeight w:hRule="exact" w:val="334"/>
        </w:trPr>
        <w:tc>
          <w:tcPr>
            <w:tcW w:w="9640" w:type="dxa"/>
            <w:tcBorders>
              <w:top w:val="nil"/>
              <w:left w:val="nil"/>
              <w:bottom w:val="nil"/>
              <w:right w:val="nil"/>
            </w:tcBorders>
            <w:shd w:val="clear" w:color="auto" w:fill="FFFFFF"/>
            <w:vAlign w:val="center"/>
          </w:tcPr>
          <w:p w14:paraId="7865BD3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7.1. Précautions à prendre pour une manipulation sans danger</w:t>
            </w:r>
          </w:p>
        </w:tc>
      </w:tr>
    </w:tbl>
    <w:p w14:paraId="325529F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838F0D5"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B7BE304" w14:textId="7AFC6BD2"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p>
    <w:p w14:paraId="2AC0B672"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E23EA69"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2E4A46D"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8849AC1"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2319796"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33912C2F"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4/11</w:t>
      </w:r>
    </w:p>
    <w:p w14:paraId="6358E6F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4A2183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98767B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AA3D099"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98638A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D37310F"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1C988D60"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961EB9B"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3745D37"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4228C971"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1C4D250"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6C50DDE"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0B1F071" w14:textId="2F07CA91"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sidR="000475A2">
        <w:rPr>
          <w:rFonts w:ascii="Arial" w:hAnsi="Arial" w:cs="Arial"/>
          <w:kern w:val="0"/>
          <w:sz w:val="16"/>
          <w:szCs w:val="16"/>
        </w:rPr>
        <w:t>Mesu</w:t>
      </w:r>
      <w:r>
        <w:rPr>
          <w:rFonts w:ascii="Arial" w:hAnsi="Arial" w:cs="Arial"/>
          <w:kern w:val="0"/>
          <w:sz w:val="16"/>
          <w:szCs w:val="16"/>
        </w:rPr>
        <w:t>res de protection:</w:t>
      </w:r>
    </w:p>
    <w:p w14:paraId="3561DD0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uniquement dans des zones bien ventilées. Manipuler et ouvrir le récipient avec soin. Toujours fermer hermétiquement les récipients après l'élimination du produit. Porter des vêtements de protection individuelle (voir rubrique 8).</w:t>
      </w:r>
    </w:p>
    <w:p w14:paraId="0668C49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destinées à empêcher la production de particules en suspension et de poussières:</w:t>
      </w:r>
    </w:p>
    <w:p w14:paraId="7C4B6C8F"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Pendant le remplissage, la mesure et l'échantillonnage devrait être utilisé si possible: un revêtement de sol résistant aux éclaboussures. Utiliser uniquement des lignes de remplissage semi-automatiques et majoritairement fermées.</w:t>
      </w:r>
    </w:p>
    <w:p w14:paraId="7490AC9F"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 protection de l'environnement:</w:t>
      </w:r>
    </w:p>
    <w:p w14:paraId="6D3B479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Les puits et les égouts doivent être protégés contre la pénétration du produit. Voir la rubrique 8.</w:t>
      </w:r>
    </w:p>
    <w:p w14:paraId="163596F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Conseils d'ordre général en matière d'hygiène au travail:</w:t>
      </w:r>
    </w:p>
    <w:p w14:paraId="20ED3D0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4849F67A"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5CDC9057"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7F323A5A" w14:textId="77777777">
        <w:trPr>
          <w:trHeight w:hRule="exact" w:val="334"/>
        </w:trPr>
        <w:tc>
          <w:tcPr>
            <w:tcW w:w="9640" w:type="dxa"/>
            <w:tcBorders>
              <w:top w:val="nil"/>
              <w:left w:val="nil"/>
              <w:bottom w:val="nil"/>
              <w:right w:val="nil"/>
            </w:tcBorders>
            <w:shd w:val="clear" w:color="auto" w:fill="FFFFFF"/>
            <w:vAlign w:val="center"/>
          </w:tcPr>
          <w:p w14:paraId="149A516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7.2.  Conditions d’un stockage sûr, y compris les éventuelles incompatibilités</w:t>
            </w:r>
          </w:p>
        </w:tc>
      </w:tr>
    </w:tbl>
    <w:p w14:paraId="1B949E03"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F7E903D"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Mesures techniques et conditions de stockage:</w:t>
      </w:r>
    </w:p>
    <w:p w14:paraId="25704203"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 à la température ambiante.</w:t>
      </w:r>
    </w:p>
    <w:p w14:paraId="5EA13C5D"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12 mois à faible température entre 15°C et 20°C dans un récipient fermé hermétiquement et à l'abri de la lumière.</w:t>
      </w:r>
    </w:p>
    <w:p w14:paraId="6A959C5E"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p>
    <w:p w14:paraId="089CA129"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Exigences concernant les lieux et conteneurs de stockage:</w:t>
      </w:r>
    </w:p>
    <w:p w14:paraId="7BDF61A8"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Conserver/stocker uniquement dans le récipient d'origine. Prévoir des zones de rétention, par exemple un plancher sans écoulement.</w:t>
      </w:r>
    </w:p>
    <w:p w14:paraId="43B259F9"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Le sol doit être étanche, sans joints et non absorbant. Assurer une ventilation adéquate de la zone de stockage.</w:t>
      </w:r>
    </w:p>
    <w:p w14:paraId="2C328DAF"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p>
    <w:p w14:paraId="2A723F74"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Information supplémentaire sur les conditions de stockage:</w:t>
      </w:r>
    </w:p>
    <w:p w14:paraId="7BF9068D"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Protéger les récipients contre les dommages.</w:t>
      </w:r>
    </w:p>
    <w:p w14:paraId="1B7D3F05"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p>
    <w:tbl>
      <w:tblPr>
        <w:tblW w:w="9640" w:type="dxa"/>
        <w:tblInd w:w="737" w:type="dxa"/>
        <w:tblLayout w:type="fixed"/>
        <w:tblCellMar>
          <w:left w:w="0" w:type="dxa"/>
          <w:right w:w="0" w:type="dxa"/>
        </w:tblCellMar>
        <w:tblLook w:val="0000" w:firstRow="0" w:lastRow="0" w:firstColumn="0" w:lastColumn="0" w:noHBand="0" w:noVBand="0"/>
      </w:tblPr>
      <w:tblGrid>
        <w:gridCol w:w="9640"/>
      </w:tblGrid>
      <w:tr w:rsidR="001B35D9" w14:paraId="2D1EC3F4" w14:textId="77777777" w:rsidTr="000475A2">
        <w:trPr>
          <w:trHeight w:hRule="exact" w:val="334"/>
        </w:trPr>
        <w:tc>
          <w:tcPr>
            <w:tcW w:w="9640" w:type="dxa"/>
            <w:tcBorders>
              <w:top w:val="nil"/>
              <w:left w:val="nil"/>
              <w:bottom w:val="nil"/>
              <w:right w:val="nil"/>
            </w:tcBorders>
            <w:shd w:val="clear" w:color="auto" w:fill="FFFFFF"/>
            <w:vAlign w:val="center"/>
          </w:tcPr>
          <w:p w14:paraId="063B545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7.3. Utilisation(s) finale(s) particulière(s)</w:t>
            </w:r>
          </w:p>
        </w:tc>
      </w:tr>
    </w:tbl>
    <w:p w14:paraId="6EBF61F4"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F1DB66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Recommandations: respecter les instructions d'utilisation.</w:t>
      </w:r>
    </w:p>
    <w:p w14:paraId="71EAF1C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8"/>
          <w:szCs w:val="18"/>
        </w:rPr>
      </w:pP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1B35D9" w14:paraId="54B4DAED" w14:textId="77777777" w:rsidTr="000475A2">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87251B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8: CONTROLES DE L'EXPOSITION/PROTECTION INDIVIDUELLE</w:t>
            </w:r>
          </w:p>
        </w:tc>
      </w:tr>
    </w:tbl>
    <w:p w14:paraId="393F9808" w14:textId="77777777" w:rsidR="000C0BB9" w:rsidRDefault="000C0BB9">
      <w:pPr>
        <w:widowControl w:val="0"/>
        <w:autoSpaceDE w:val="0"/>
        <w:autoSpaceDN w:val="0"/>
        <w:adjustRightInd w:val="0"/>
        <w:spacing w:after="0" w:line="240" w:lineRule="auto"/>
        <w:rPr>
          <w:rFonts w:ascii="Arial" w:hAnsi="Arial" w:cs="Arial"/>
          <w:color w:val="000000"/>
          <w:kern w:val="0"/>
          <w:sz w:val="22"/>
          <w:szCs w:val="22"/>
        </w:rPr>
      </w:pPr>
    </w:p>
    <w:p w14:paraId="4FC56C81"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Des examens de médecine préventive du travail sont à effectuer.</w:t>
      </w:r>
    </w:p>
    <w:p w14:paraId="31FD3D7D"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5B2CB016"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C2EFFCA" w14:textId="77777777">
        <w:trPr>
          <w:trHeight w:hRule="exact" w:val="334"/>
        </w:trPr>
        <w:tc>
          <w:tcPr>
            <w:tcW w:w="9640" w:type="dxa"/>
            <w:tcBorders>
              <w:top w:val="nil"/>
              <w:left w:val="nil"/>
              <w:bottom w:val="nil"/>
              <w:right w:val="nil"/>
            </w:tcBorders>
            <w:shd w:val="clear" w:color="auto" w:fill="FFFFFF"/>
            <w:vAlign w:val="center"/>
          </w:tcPr>
          <w:p w14:paraId="5C6C275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8.1. Paramètres de contrôle</w:t>
            </w:r>
          </w:p>
        </w:tc>
      </w:tr>
    </w:tbl>
    <w:p w14:paraId="13A86036"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D7FB116"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Pas de données à ce jour.</w:t>
      </w:r>
    </w:p>
    <w:p w14:paraId="66B97F0B"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73F7634A"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077E2D1" w14:textId="77777777">
        <w:trPr>
          <w:trHeight w:hRule="exact" w:val="334"/>
        </w:trPr>
        <w:tc>
          <w:tcPr>
            <w:tcW w:w="9640" w:type="dxa"/>
            <w:tcBorders>
              <w:top w:val="nil"/>
              <w:left w:val="nil"/>
              <w:bottom w:val="nil"/>
              <w:right w:val="nil"/>
            </w:tcBorders>
            <w:shd w:val="clear" w:color="auto" w:fill="FFFFFF"/>
            <w:vAlign w:val="center"/>
          </w:tcPr>
          <w:p w14:paraId="74A8F2C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8.2. Contrôles de l’exposition</w:t>
            </w:r>
          </w:p>
        </w:tc>
      </w:tr>
    </w:tbl>
    <w:p w14:paraId="624529E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264F1F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5A42870"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8"/>
          <w:szCs w:val="18"/>
        </w:rPr>
        <w:t>8.2.1. Contrôles techniques appropriés:</w:t>
      </w:r>
    </w:p>
    <w:p w14:paraId="45B02D00"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Eviter le contact avec les yeux, la peau ou les vêtements. Ne pas ingérer. Eviter le contact avec les aliments et les boissons.</w:t>
      </w:r>
    </w:p>
    <w:p w14:paraId="12BB2A73"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8.2.2. Mesures de protection individuelle:</w:t>
      </w:r>
    </w:p>
    <w:p w14:paraId="31584243"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des mains :</w:t>
      </w:r>
      <w:r>
        <w:rPr>
          <w:rFonts w:ascii="Arial" w:hAnsi="Arial" w:cs="Arial"/>
          <w:color w:val="FFFFFF"/>
          <w:kern w:val="0"/>
          <w:sz w:val="18"/>
          <w:szCs w:val="18"/>
        </w:rPr>
        <w:tab/>
      </w:r>
      <w:r>
        <w:rPr>
          <w:rFonts w:ascii="Arial" w:hAnsi="Arial" w:cs="Arial"/>
          <w:kern w:val="0"/>
          <w:sz w:val="18"/>
          <w:szCs w:val="18"/>
        </w:rPr>
        <w:t>porter des gants.</w:t>
      </w:r>
    </w:p>
    <w:p w14:paraId="21F2DEEE"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-Protection des yeux : </w:t>
      </w:r>
      <w:r>
        <w:rPr>
          <w:rFonts w:ascii="Arial" w:hAnsi="Arial" w:cs="Arial"/>
          <w:color w:val="FFFFFF"/>
          <w:kern w:val="0"/>
          <w:sz w:val="18"/>
          <w:szCs w:val="18"/>
        </w:rPr>
        <w:tab/>
      </w:r>
      <w:r>
        <w:rPr>
          <w:rFonts w:ascii="Arial" w:hAnsi="Arial" w:cs="Arial"/>
          <w:kern w:val="0"/>
          <w:sz w:val="18"/>
          <w:szCs w:val="18"/>
        </w:rPr>
        <w:t>protection non requise.</w:t>
      </w:r>
    </w:p>
    <w:p w14:paraId="7D5F1B16" w14:textId="12386F32"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Arial" w:hAnsi="Arial" w:cs="Arial"/>
          <w:kern w:val="0"/>
          <w:sz w:val="18"/>
          <w:szCs w:val="18"/>
        </w:rPr>
        <w:t>-Protection respiratoire :</w:t>
      </w:r>
      <w:r>
        <w:rPr>
          <w:rFonts w:ascii="Arial" w:hAnsi="Arial" w:cs="Arial"/>
          <w:color w:val="FFFFFF"/>
          <w:kern w:val="0"/>
          <w:sz w:val="18"/>
          <w:szCs w:val="18"/>
        </w:rPr>
        <w:tab/>
      </w:r>
      <w:r>
        <w:rPr>
          <w:rFonts w:ascii="Arial" w:hAnsi="Arial" w:cs="Arial"/>
          <w:kern w:val="0"/>
          <w:sz w:val="18"/>
          <w:szCs w:val="18"/>
        </w:rPr>
        <w:t>en cas de ventilation insuffisante, porter un appareil respir</w:t>
      </w:r>
      <w:r w:rsidR="000475A2">
        <w:rPr>
          <w:rFonts w:ascii="Arial" w:hAnsi="Arial" w:cs="Arial"/>
          <w:kern w:val="0"/>
          <w:sz w:val="18"/>
          <w:szCs w:val="18"/>
        </w:rPr>
        <w:t>atoire approprié.</w:t>
      </w:r>
    </w:p>
    <w:p w14:paraId="449F17E6"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664A49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7E0B7DCF"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9E6748C"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911EC90"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7FAD11A5"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5/11</w:t>
      </w:r>
    </w:p>
    <w:p w14:paraId="2D8AF62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7112E5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92AF3ED"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FDCB9C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1CF78F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F611ADD"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04102150"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B50566A"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9DAB6D3"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56A4C8C4"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AB6FAD2"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28C1082E"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1FD24802" w14:textId="1A0E7AD4"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8"/>
          <w:szCs w:val="18"/>
        </w:rPr>
        <w:t>Ingestion : ne pas  manger, ne pas boire et ne pas fumer pendant l'utilisation.</w:t>
      </w:r>
    </w:p>
    <w:p w14:paraId="61212774"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Respecter les consignes indiquées au § 2.2.</w:t>
      </w:r>
    </w:p>
    <w:p w14:paraId="4FF365DB"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8.2.3. Contrôle d'exposition lié à la protection de l'environnement:</w:t>
      </w:r>
    </w:p>
    <w:p w14:paraId="47975ECC"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151C8297"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visant à prévenir l'exposition liée à la substance/au mélange: pas de mesures spécifiques.</w:t>
      </w:r>
    </w:p>
    <w:p w14:paraId="01CAA377"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d'instruction visant à prévenir l'exposition: pas de mesures spécifiques.</w:t>
      </w:r>
    </w:p>
    <w:p w14:paraId="55EDC014"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organisationnelles visant à prévenir l'exposition: pas de mesures spécifiques.</w:t>
      </w:r>
    </w:p>
    <w:p w14:paraId="1CEEB3C9"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techniques visant à prévenir l'exposition: pas de mesures spécifiques.</w:t>
      </w:r>
    </w:p>
    <w:p w14:paraId="0C73DB72"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p>
    <w:p w14:paraId="23C8D85B" w14:textId="77777777" w:rsidR="000C0BB9" w:rsidRDefault="000C0BB9">
      <w:pPr>
        <w:widowControl w:val="0"/>
        <w:tabs>
          <w:tab w:val="left" w:pos="850"/>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Times New Roman" w:hAnsi="Times New Roman" w:cs="Times New Roman"/>
          <w:noProof/>
          <w:kern w:val="0"/>
        </w:rPr>
        <w:drawing>
          <wp:inline distT="0" distB="0" distL="0" distR="0" wp14:anchorId="5A826F4C" wp14:editId="58F4A08F">
            <wp:extent cx="647700" cy="60007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6B20D7F9" w14:textId="77777777" w:rsidR="000C0BB9" w:rsidRDefault="000C0BB9">
      <w:pPr>
        <w:widowControl w:val="0"/>
        <w:autoSpaceDE w:val="0"/>
        <w:autoSpaceDN w:val="0"/>
        <w:adjustRightInd w:val="0"/>
        <w:spacing w:after="0" w:line="240" w:lineRule="auto"/>
        <w:rPr>
          <w:rFonts w:ascii="Times New Roman" w:hAnsi="Times New Roman" w:cs="Times New Roman"/>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36F0F9AA"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60A5F2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9: PROPRIETES PHYSIQUES ET CHIMIQUES</w:t>
            </w:r>
          </w:p>
        </w:tc>
      </w:tr>
    </w:tbl>
    <w:p w14:paraId="55A6C5D3"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A000C09"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73A1716" w14:textId="77777777">
        <w:trPr>
          <w:trHeight w:hRule="exact" w:val="334"/>
        </w:trPr>
        <w:tc>
          <w:tcPr>
            <w:tcW w:w="9640" w:type="dxa"/>
            <w:tcBorders>
              <w:top w:val="nil"/>
              <w:left w:val="nil"/>
              <w:bottom w:val="nil"/>
              <w:right w:val="nil"/>
            </w:tcBorders>
            <w:shd w:val="clear" w:color="auto" w:fill="FFFFFF"/>
            <w:vAlign w:val="center"/>
          </w:tcPr>
          <w:p w14:paraId="6EDAB40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9.1. Informations sur les propriétés physiques et chimiques essentielles</w:t>
            </w:r>
          </w:p>
        </w:tc>
      </w:tr>
    </w:tbl>
    <w:p w14:paraId="5E4D3AFB"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3DC935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500E2B0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A94A57F"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8F5AF85" w14:textId="77777777">
        <w:trPr>
          <w:trHeight w:hRule="exact" w:val="334"/>
        </w:trPr>
        <w:tc>
          <w:tcPr>
            <w:tcW w:w="9640" w:type="dxa"/>
            <w:tcBorders>
              <w:top w:val="nil"/>
              <w:left w:val="nil"/>
              <w:bottom w:val="nil"/>
              <w:right w:val="nil"/>
            </w:tcBorders>
            <w:shd w:val="clear" w:color="auto" w:fill="FFFFFF"/>
            <w:vAlign w:val="center"/>
          </w:tcPr>
          <w:p w14:paraId="439DD4B3"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9.2. Autres informations</w:t>
            </w:r>
          </w:p>
        </w:tc>
      </w:tr>
    </w:tbl>
    <w:p w14:paraId="5CFEDF25"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8C37C4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3E83E14C" w14:textId="77777777" w:rsidR="000C0BB9" w:rsidRDefault="000C0BB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5F662B2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467063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10: STABILITE ET REACTIVITE</w:t>
            </w:r>
          </w:p>
        </w:tc>
      </w:tr>
    </w:tbl>
    <w:p w14:paraId="6D92090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67027AF"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4822DA7" w14:textId="77777777">
        <w:trPr>
          <w:trHeight w:hRule="exact" w:val="334"/>
        </w:trPr>
        <w:tc>
          <w:tcPr>
            <w:tcW w:w="9640" w:type="dxa"/>
            <w:tcBorders>
              <w:top w:val="nil"/>
              <w:left w:val="nil"/>
              <w:bottom w:val="nil"/>
              <w:right w:val="nil"/>
            </w:tcBorders>
            <w:shd w:val="clear" w:color="auto" w:fill="FFFFFF"/>
            <w:vAlign w:val="center"/>
          </w:tcPr>
          <w:p w14:paraId="67AF209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10.1. Réactivité</w:t>
            </w:r>
          </w:p>
        </w:tc>
      </w:tr>
    </w:tbl>
    <w:p w14:paraId="0E1592F9"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6CB4146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donnée d'essai spécifique disponible relative à la réactivité de ce produit ou de ses ingrédients.</w:t>
      </w:r>
    </w:p>
    <w:p w14:paraId="39758320"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C342AB4"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414D94C" w14:textId="77777777">
        <w:trPr>
          <w:trHeight w:hRule="exact" w:val="334"/>
        </w:trPr>
        <w:tc>
          <w:tcPr>
            <w:tcW w:w="9640" w:type="dxa"/>
            <w:tcBorders>
              <w:top w:val="nil"/>
              <w:left w:val="nil"/>
              <w:bottom w:val="nil"/>
              <w:right w:val="nil"/>
            </w:tcBorders>
            <w:shd w:val="clear" w:color="auto" w:fill="FFFFFF"/>
            <w:vAlign w:val="center"/>
          </w:tcPr>
          <w:p w14:paraId="2857318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10.2. Stabilité chimique</w:t>
            </w:r>
          </w:p>
        </w:tc>
      </w:tr>
    </w:tbl>
    <w:p w14:paraId="390C944A"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2A1B28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La substance est chimiquement stable dans les conditions recommandées de stockage, d'utilisation et de température.</w:t>
      </w:r>
    </w:p>
    <w:p w14:paraId="6E45084C"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95C3555"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B1B5308" w14:textId="77777777">
        <w:trPr>
          <w:trHeight w:hRule="exact" w:val="334"/>
        </w:trPr>
        <w:tc>
          <w:tcPr>
            <w:tcW w:w="9640" w:type="dxa"/>
            <w:tcBorders>
              <w:top w:val="nil"/>
              <w:left w:val="nil"/>
              <w:bottom w:val="nil"/>
              <w:right w:val="nil"/>
            </w:tcBorders>
            <w:shd w:val="clear" w:color="auto" w:fill="FFFFFF"/>
            <w:vAlign w:val="center"/>
          </w:tcPr>
          <w:p w14:paraId="1176F17F"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10.3. Possibilité de réactions dangereuses</w:t>
            </w:r>
          </w:p>
        </w:tc>
      </w:tr>
    </w:tbl>
    <w:p w14:paraId="024D0EB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13AF7F2"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E46DADB"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réaction dangereuse lorsqu'il est manipulé et stocké conformément aux dispositions.</w:t>
      </w:r>
    </w:p>
    <w:p w14:paraId="6F46C92A"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Eviter le contact avec les acides, les bases et les agents oxydants.</w:t>
      </w:r>
    </w:p>
    <w:p w14:paraId="09A046A6"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p>
    <w:p w14:paraId="64C3017B"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281CA7D9"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720743B1" w14:textId="77777777">
        <w:trPr>
          <w:trHeight w:hRule="exact" w:val="334"/>
        </w:trPr>
        <w:tc>
          <w:tcPr>
            <w:tcW w:w="9640" w:type="dxa"/>
            <w:tcBorders>
              <w:top w:val="nil"/>
              <w:left w:val="nil"/>
              <w:bottom w:val="nil"/>
              <w:right w:val="nil"/>
            </w:tcBorders>
            <w:shd w:val="clear" w:color="auto" w:fill="FFFFFF"/>
            <w:vAlign w:val="center"/>
          </w:tcPr>
          <w:p w14:paraId="6E5FF35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10.4. Conditions à éviter</w:t>
            </w:r>
          </w:p>
        </w:tc>
      </w:tr>
    </w:tbl>
    <w:p w14:paraId="1BBCDD8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78A6F9C"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4E8940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Eviter les températures au-dessus ou au moins 5°C en-dessous du point d'éclair pour tout liquide inflammable.</w:t>
      </w:r>
    </w:p>
    <w:p w14:paraId="7983C10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pas chauffer les récipients fermés.</w:t>
      </w:r>
    </w:p>
    <w:p w14:paraId="4E905C3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Eviter le contact avec des agents oxydants.</w:t>
      </w:r>
    </w:p>
    <w:p w14:paraId="132E98CD" w14:textId="2098FF08"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Arial" w:hAnsi="Arial" w:cs="Arial"/>
          <w:kern w:val="0"/>
          <w:sz w:val="16"/>
          <w:szCs w:val="16"/>
        </w:rPr>
        <w:t>Sources di</w:t>
      </w:r>
      <w:r w:rsidR="000475A2">
        <w:rPr>
          <w:rFonts w:ascii="Arial" w:hAnsi="Arial" w:cs="Arial"/>
          <w:kern w:val="0"/>
          <w:sz w:val="16"/>
          <w:szCs w:val="16"/>
        </w:rPr>
        <w:t>rectes de chaleur.</w:t>
      </w:r>
    </w:p>
    <w:p w14:paraId="7DA8BCBF"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4D5DE824"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69F978E"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385DA55"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115CE1D"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4C910334"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6/11</w:t>
      </w:r>
    </w:p>
    <w:p w14:paraId="7234C57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D8875CA"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71BC77C"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FC0B8AF"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F7A0D3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8597902"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4FD5C3E6"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B83F188"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6C9320F"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7F924BA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A6E3112"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05D57E1"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7801327E" w14:textId="0334E83F"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p>
    <w:p w14:paraId="4B925A61"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EA1DFD6" w14:textId="77777777">
        <w:trPr>
          <w:trHeight w:hRule="exact" w:val="334"/>
        </w:trPr>
        <w:tc>
          <w:tcPr>
            <w:tcW w:w="9640" w:type="dxa"/>
            <w:tcBorders>
              <w:top w:val="nil"/>
              <w:left w:val="nil"/>
              <w:bottom w:val="nil"/>
              <w:right w:val="nil"/>
            </w:tcBorders>
            <w:shd w:val="clear" w:color="auto" w:fill="FFFFFF"/>
            <w:vAlign w:val="center"/>
          </w:tcPr>
          <w:p w14:paraId="48A21F9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10.5. Matières incompatibles</w:t>
            </w:r>
          </w:p>
        </w:tc>
      </w:tr>
    </w:tbl>
    <w:p w14:paraId="7F072160"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F9857AF"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Acides - Bases - Agents oxydants.</w:t>
      </w:r>
    </w:p>
    <w:p w14:paraId="2268BF80"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27874CB2"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0C960F2D"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F77295F" w14:textId="77777777">
        <w:trPr>
          <w:trHeight w:hRule="exact" w:val="334"/>
        </w:trPr>
        <w:tc>
          <w:tcPr>
            <w:tcW w:w="9640" w:type="dxa"/>
            <w:tcBorders>
              <w:top w:val="nil"/>
              <w:left w:val="nil"/>
              <w:bottom w:val="nil"/>
              <w:right w:val="nil"/>
            </w:tcBorders>
            <w:shd w:val="clear" w:color="auto" w:fill="FFFFFF"/>
            <w:vAlign w:val="center"/>
          </w:tcPr>
          <w:p w14:paraId="73D0E1E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10.6. Produits de décomposition dangereux</w:t>
            </w:r>
          </w:p>
        </w:tc>
      </w:tr>
    </w:tbl>
    <w:p w14:paraId="71959E75"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Décomposition thermique / conditions à éviter : </w:t>
      </w:r>
    </w:p>
    <w:p w14:paraId="13ECDF3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Pas de décomposition en cas d'usage conforme.</w:t>
      </w:r>
    </w:p>
    <w:p w14:paraId="013B623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Produits de décomposition dangereux : pas de produits de décomposition dangereux connus.</w:t>
      </w:r>
    </w:p>
    <w:p w14:paraId="5E32FA9E"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se décompose pas lorsqu'il est utilisé pour les utilisations prévues.</w:t>
      </w:r>
    </w:p>
    <w:p w14:paraId="64C57329"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05DFE98E"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42405138"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A0F912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11: INFORMATIONS TOXICOLOGIQUES</w:t>
            </w:r>
          </w:p>
        </w:tc>
      </w:tr>
    </w:tbl>
    <w:p w14:paraId="3878B94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A686370"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6E0D31A3" w14:textId="77777777">
        <w:trPr>
          <w:trHeight w:hRule="exact" w:val="334"/>
        </w:trPr>
        <w:tc>
          <w:tcPr>
            <w:tcW w:w="9640" w:type="dxa"/>
            <w:tcBorders>
              <w:top w:val="nil"/>
              <w:left w:val="nil"/>
              <w:bottom w:val="nil"/>
              <w:right w:val="nil"/>
            </w:tcBorders>
            <w:shd w:val="clear" w:color="auto" w:fill="FFFFFF"/>
            <w:vAlign w:val="center"/>
          </w:tcPr>
          <w:p w14:paraId="61BB6B38"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11.1. Informations sur les classes de danger telles que définies dans le règlement (CE) nº 1272/2008</w:t>
            </w:r>
          </w:p>
        </w:tc>
      </w:tr>
    </w:tbl>
    <w:p w14:paraId="0B36227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15CECC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 toxicité aiguë</w:t>
      </w:r>
    </w:p>
    <w:p w14:paraId="64F320B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(oral) = 1 591,93 (Déterminée)  (mg/kg)</w:t>
      </w:r>
    </w:p>
    <w:p w14:paraId="5E3A272D"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(dermique) = 4 444,44 (Déterminée)  (mg/kg)</w:t>
      </w:r>
    </w:p>
    <w:p w14:paraId="77FDDED5"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(inhal.) = Non déterminée (mg/l/4 h)</w:t>
      </w:r>
    </w:p>
    <w:p w14:paraId="615A8A6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b) corrosion cutanée/irritation cutanée</w:t>
      </w:r>
    </w:p>
    <w:p w14:paraId="697BDF4A"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032063A"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 lésions oculaires graves/irritation oculaire</w:t>
      </w:r>
    </w:p>
    <w:p w14:paraId="2A25D1F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07F3A92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d) sensibilisation respiratoire ou cutanée</w:t>
      </w:r>
    </w:p>
    <w:p w14:paraId="29ABE84C"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16"/>
          <w:szCs w:val="16"/>
        </w:rPr>
        <w:t>voir section 2</w:t>
      </w:r>
    </w:p>
    <w:p w14:paraId="42FB83E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 mutagénicité sur les cellules germinales</w:t>
      </w:r>
    </w:p>
    <w:p w14:paraId="45FF012A"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62DC8B76"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f) cancérogénicité</w:t>
      </w:r>
    </w:p>
    <w:p w14:paraId="41DF1A97"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270BDBD6"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g) toxicité pour la reproduction</w:t>
      </w:r>
    </w:p>
    <w:p w14:paraId="0CFD7770"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72DBBD3B"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h) toxicité spécifique pour certains organes cibles (STOT) – exposition unique</w:t>
      </w:r>
    </w:p>
    <w:p w14:paraId="72F76D74"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192EE012"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i) toxicité spécifique pour certains organes cibles (STOT) – exposition répétée</w:t>
      </w:r>
    </w:p>
    <w:p w14:paraId="3656DFCB"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3DD42CA3"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j) danger par aspiration</w:t>
      </w:r>
    </w:p>
    <w:p w14:paraId="0FC14468"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0469FF6F" w14:textId="77777777" w:rsidR="000C0BB9" w:rsidRDefault="000C0BB9">
      <w:pPr>
        <w:widowControl w:val="0"/>
        <w:autoSpaceDE w:val="0"/>
        <w:autoSpaceDN w:val="0"/>
        <w:adjustRightInd w:val="0"/>
        <w:spacing w:after="0" w:line="240" w:lineRule="auto"/>
        <w:jc w:val="both"/>
        <w:rPr>
          <w:rFonts w:ascii="Arial" w:hAnsi="Arial" w:cs="Arial"/>
          <w:color w:val="FFFFFF"/>
          <w:kern w:val="0"/>
          <w:sz w:val="16"/>
          <w:szCs w:val="16"/>
        </w:rPr>
      </w:pPr>
    </w:p>
    <w:p w14:paraId="6F25D3EB"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E764B53" w14:textId="77777777">
        <w:trPr>
          <w:trHeight w:hRule="exact" w:val="334"/>
        </w:trPr>
        <w:tc>
          <w:tcPr>
            <w:tcW w:w="9640" w:type="dxa"/>
            <w:tcBorders>
              <w:top w:val="nil"/>
              <w:left w:val="nil"/>
              <w:bottom w:val="nil"/>
              <w:right w:val="nil"/>
            </w:tcBorders>
            <w:shd w:val="clear" w:color="auto" w:fill="FFFFFF"/>
            <w:vAlign w:val="center"/>
          </w:tcPr>
          <w:p w14:paraId="193FC507"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11.2.  Informations sur les autres dangers</w:t>
            </w:r>
          </w:p>
        </w:tc>
      </w:tr>
    </w:tbl>
    <w:p w14:paraId="5B34885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CE586BC"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11.2.1. Propriétés perturbant le système endocrinien:</w:t>
      </w:r>
    </w:p>
    <w:p w14:paraId="6C6EC5BE"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70A4F5FE"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11.2.2. Autres informations:</w:t>
      </w:r>
    </w:p>
    <w:p w14:paraId="037E07BD"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14FB97E2" w14:textId="77777777" w:rsidR="000C0BB9" w:rsidRDefault="000C0BB9">
      <w:pPr>
        <w:widowControl w:val="0"/>
        <w:autoSpaceDE w:val="0"/>
        <w:autoSpaceDN w:val="0"/>
        <w:adjustRightInd w:val="0"/>
        <w:spacing w:after="0" w:line="240" w:lineRule="auto"/>
        <w:rPr>
          <w:rFonts w:ascii="Arial" w:hAnsi="Arial" w:cs="Arial"/>
          <w:color w:val="FFFFFF"/>
          <w:kern w:val="0"/>
          <w:sz w:val="17"/>
          <w:szCs w:val="17"/>
        </w:rPr>
      </w:pPr>
    </w:p>
    <w:p w14:paraId="465E9284"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4B86987B"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5279B8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12: INFORMATIONS ECOLOGIQUES</w:t>
            </w:r>
          </w:p>
        </w:tc>
      </w:tr>
    </w:tbl>
    <w:p w14:paraId="05948BFE" w14:textId="77777777" w:rsidR="000C0BB9" w:rsidRDefault="000C0BB9">
      <w:pPr>
        <w:widowControl w:val="0"/>
        <w:autoSpaceDE w:val="0"/>
        <w:autoSpaceDN w:val="0"/>
        <w:adjustRightInd w:val="0"/>
        <w:spacing w:after="0" w:line="240" w:lineRule="auto"/>
        <w:rPr>
          <w:rFonts w:ascii="Arial" w:hAnsi="Arial" w:cs="Arial"/>
          <w:color w:val="000000"/>
          <w:kern w:val="0"/>
          <w:sz w:val="22"/>
          <w:szCs w:val="22"/>
        </w:rPr>
      </w:pPr>
    </w:p>
    <w:p w14:paraId="2ECB329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0475A2" w14:paraId="49926941" w14:textId="77777777" w:rsidTr="00F07E5E">
        <w:trPr>
          <w:trHeight w:hRule="exact" w:val="334"/>
        </w:trPr>
        <w:tc>
          <w:tcPr>
            <w:tcW w:w="9640" w:type="dxa"/>
            <w:tcBorders>
              <w:top w:val="nil"/>
              <w:left w:val="nil"/>
              <w:bottom w:val="nil"/>
              <w:right w:val="nil"/>
            </w:tcBorders>
            <w:shd w:val="clear" w:color="auto" w:fill="FFFFFF"/>
            <w:vAlign w:val="center"/>
          </w:tcPr>
          <w:p w14:paraId="6DF776B8" w14:textId="77777777" w:rsidR="000475A2" w:rsidRDefault="000475A2" w:rsidP="00F07E5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12.1. Toxicité</w:t>
            </w:r>
          </w:p>
        </w:tc>
      </w:tr>
    </w:tbl>
    <w:p w14:paraId="10DCB88F" w14:textId="77777777" w:rsidR="000475A2" w:rsidRDefault="000475A2" w:rsidP="000475A2">
      <w:pPr>
        <w:widowControl w:val="0"/>
        <w:autoSpaceDE w:val="0"/>
        <w:autoSpaceDN w:val="0"/>
        <w:adjustRightInd w:val="0"/>
        <w:spacing w:after="0" w:line="240" w:lineRule="auto"/>
        <w:rPr>
          <w:rFonts w:ascii="Arial" w:hAnsi="Arial" w:cs="Arial"/>
          <w:color w:val="000000"/>
          <w:kern w:val="0"/>
          <w:sz w:val="20"/>
          <w:szCs w:val="20"/>
        </w:rPr>
      </w:pPr>
    </w:p>
    <w:p w14:paraId="7EA10689" w14:textId="77777777" w:rsidR="000475A2" w:rsidRDefault="000475A2" w:rsidP="000475A2">
      <w:pPr>
        <w:widowControl w:val="0"/>
        <w:autoSpaceDE w:val="0"/>
        <w:autoSpaceDN w:val="0"/>
        <w:adjustRightInd w:val="0"/>
        <w:spacing w:after="0" w:line="240" w:lineRule="auto"/>
        <w:rPr>
          <w:rFonts w:ascii="Arial" w:hAnsi="Arial" w:cs="Arial"/>
          <w:color w:val="000000"/>
          <w:kern w:val="0"/>
          <w:sz w:val="10"/>
          <w:szCs w:val="10"/>
        </w:rPr>
      </w:pPr>
    </w:p>
    <w:p w14:paraId="0284A5A4"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Ne pas laisser le produit, non dilué ou en grande quantité, pénétrer la nappe phréatique, les eaux superficielles ou les égouts.</w:t>
      </w:r>
    </w:p>
    <w:p w14:paraId="445FAD5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8266BA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4FBFFD7" w14:textId="77777777" w:rsidR="000C0BB9" w:rsidRDefault="000C0BB9">
      <w:pPr>
        <w:widowControl w:val="0"/>
        <w:autoSpaceDE w:val="0"/>
        <w:autoSpaceDN w:val="0"/>
        <w:adjustRightInd w:val="0"/>
        <w:spacing w:after="0" w:line="240" w:lineRule="auto"/>
        <w:rPr>
          <w:rFonts w:ascii="Arial" w:hAnsi="Arial" w:cs="Arial"/>
          <w:color w:val="000000"/>
          <w:kern w:val="0"/>
          <w:sz w:val="7"/>
          <w:szCs w:val="7"/>
        </w:rPr>
      </w:pPr>
    </w:p>
    <w:p w14:paraId="4292BAB7"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7/11</w:t>
      </w:r>
    </w:p>
    <w:p w14:paraId="1211CFA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5057227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9D1F3F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6882DA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14D50D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E231FC6"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1F139ECC"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486B67C"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EBFB33A"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2B4B9DF9"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EF83480"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302BA36" w14:textId="77777777" w:rsidR="000C0BB9" w:rsidRDefault="000C0BB9">
      <w:pPr>
        <w:widowControl w:val="0"/>
        <w:autoSpaceDE w:val="0"/>
        <w:autoSpaceDN w:val="0"/>
        <w:adjustRightInd w:val="0"/>
        <w:spacing w:after="0" w:line="240" w:lineRule="auto"/>
        <w:rPr>
          <w:rFonts w:ascii="Arial" w:hAnsi="Arial" w:cs="Arial"/>
          <w:color w:val="000000"/>
          <w:kern w:val="0"/>
          <w:sz w:val="5"/>
          <w:szCs w:val="5"/>
        </w:rPr>
      </w:pPr>
    </w:p>
    <w:p w14:paraId="32C54865"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52A53669" w14:textId="77777777">
        <w:trPr>
          <w:trHeight w:hRule="exact" w:val="334"/>
        </w:trPr>
        <w:tc>
          <w:tcPr>
            <w:tcW w:w="9640" w:type="dxa"/>
            <w:tcBorders>
              <w:top w:val="nil"/>
              <w:left w:val="nil"/>
              <w:bottom w:val="nil"/>
              <w:right w:val="nil"/>
            </w:tcBorders>
            <w:shd w:val="clear" w:color="auto" w:fill="FFFFFF"/>
            <w:vAlign w:val="center"/>
          </w:tcPr>
          <w:p w14:paraId="5577091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12.2. Persistance et dégradabilité</w:t>
            </w:r>
          </w:p>
        </w:tc>
      </w:tr>
    </w:tbl>
    <w:p w14:paraId="27253FAD"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157F0AD" w14:textId="77777777" w:rsidR="000C0BB9" w:rsidRDefault="000C0BB9">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Pas de données à ce jour.</w:t>
      </w:r>
    </w:p>
    <w:p w14:paraId="55B8FF27"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352160FF"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5C92EAB4"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2959515" w14:textId="77777777">
        <w:trPr>
          <w:trHeight w:hRule="exact" w:val="334"/>
        </w:trPr>
        <w:tc>
          <w:tcPr>
            <w:tcW w:w="9640" w:type="dxa"/>
            <w:tcBorders>
              <w:top w:val="nil"/>
              <w:left w:val="nil"/>
              <w:bottom w:val="nil"/>
              <w:right w:val="nil"/>
            </w:tcBorders>
            <w:shd w:val="clear" w:color="auto" w:fill="FFFFFF"/>
            <w:vAlign w:val="center"/>
          </w:tcPr>
          <w:p w14:paraId="0B42F3F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12.3. Potentiel de bioaccumulation</w:t>
            </w:r>
          </w:p>
        </w:tc>
      </w:tr>
    </w:tbl>
    <w:p w14:paraId="20280E28"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3BB3D844"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p>
    <w:p w14:paraId="7D7C8A55"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2DD3D2B8"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32FB526" w14:textId="77777777">
        <w:trPr>
          <w:trHeight w:hRule="exact" w:val="334"/>
        </w:trPr>
        <w:tc>
          <w:tcPr>
            <w:tcW w:w="9640" w:type="dxa"/>
            <w:tcBorders>
              <w:top w:val="nil"/>
              <w:left w:val="nil"/>
              <w:bottom w:val="nil"/>
              <w:right w:val="nil"/>
            </w:tcBorders>
            <w:shd w:val="clear" w:color="auto" w:fill="FFFFFF"/>
            <w:vAlign w:val="center"/>
          </w:tcPr>
          <w:p w14:paraId="3247AFC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12.4. Mobilité dans le sol</w:t>
            </w:r>
          </w:p>
        </w:tc>
      </w:tr>
    </w:tbl>
    <w:p w14:paraId="5845215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F1CB25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AF38DA0"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392EBD4D"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512107DE"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045DF68" w14:textId="77777777">
        <w:trPr>
          <w:trHeight w:hRule="exact" w:val="334"/>
        </w:trPr>
        <w:tc>
          <w:tcPr>
            <w:tcW w:w="9640" w:type="dxa"/>
            <w:tcBorders>
              <w:top w:val="nil"/>
              <w:left w:val="nil"/>
              <w:bottom w:val="nil"/>
              <w:right w:val="nil"/>
            </w:tcBorders>
            <w:shd w:val="clear" w:color="auto" w:fill="FFFFFF"/>
            <w:vAlign w:val="center"/>
          </w:tcPr>
          <w:p w14:paraId="7B37A1C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12.5. Résultats des évaluations PBT et vPvB</w:t>
            </w:r>
          </w:p>
        </w:tc>
      </w:tr>
    </w:tbl>
    <w:p w14:paraId="7502CE06"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7A6BBA3"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19338CC9"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9ACC160"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044E8E0A" w14:textId="77777777">
        <w:trPr>
          <w:trHeight w:hRule="exact" w:val="334"/>
        </w:trPr>
        <w:tc>
          <w:tcPr>
            <w:tcW w:w="9640" w:type="dxa"/>
            <w:tcBorders>
              <w:top w:val="nil"/>
              <w:left w:val="nil"/>
              <w:bottom w:val="nil"/>
              <w:right w:val="nil"/>
            </w:tcBorders>
            <w:shd w:val="clear" w:color="auto" w:fill="FFFFFF"/>
            <w:vAlign w:val="center"/>
          </w:tcPr>
          <w:p w14:paraId="23836F38"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12.6. Propriétés perturbant le système endocrinien</w:t>
            </w:r>
          </w:p>
        </w:tc>
      </w:tr>
    </w:tbl>
    <w:p w14:paraId="5E37DE5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05AA101" w14:textId="77777777" w:rsidR="000C0BB9" w:rsidRDefault="000C0BB9">
      <w:pPr>
        <w:widowControl w:val="0"/>
        <w:autoSpaceDE w:val="0"/>
        <w:autoSpaceDN w:val="0"/>
        <w:adjustRightInd w:val="0"/>
        <w:spacing w:after="0" w:line="240" w:lineRule="auto"/>
        <w:rPr>
          <w:rFonts w:ascii="Arial" w:hAnsi="Arial" w:cs="Arial"/>
          <w:color w:val="000000"/>
          <w:kern w:val="0"/>
          <w:sz w:val="6"/>
          <w:szCs w:val="6"/>
        </w:rPr>
      </w:pPr>
    </w:p>
    <w:p w14:paraId="4FDF6992"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1D78DF5A"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411D387E"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3E494A9" w14:textId="77777777">
        <w:trPr>
          <w:trHeight w:hRule="exact" w:val="334"/>
        </w:trPr>
        <w:tc>
          <w:tcPr>
            <w:tcW w:w="9640" w:type="dxa"/>
            <w:tcBorders>
              <w:top w:val="nil"/>
              <w:left w:val="nil"/>
              <w:bottom w:val="nil"/>
              <w:right w:val="nil"/>
            </w:tcBorders>
            <w:shd w:val="clear" w:color="auto" w:fill="FFFFFF"/>
            <w:vAlign w:val="center"/>
          </w:tcPr>
          <w:p w14:paraId="190D077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12.7. Autres effets néfastes</w:t>
            </w:r>
          </w:p>
        </w:tc>
      </w:tr>
    </w:tbl>
    <w:p w14:paraId="7ADD84D1"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1F3D3319" w14:textId="77777777" w:rsidR="000C0BB9" w:rsidRDefault="000C0BB9">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277BC96E"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p>
    <w:p w14:paraId="52EB38A2"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052E92B1"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4E8771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13: CONSIDERATIONS RELATIVES A L'ELIMINATION</w:t>
            </w:r>
          </w:p>
        </w:tc>
      </w:tr>
    </w:tbl>
    <w:p w14:paraId="66BE4D2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DA24ACD"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A202FD5" w14:textId="77777777">
        <w:trPr>
          <w:trHeight w:hRule="exact" w:val="334"/>
        </w:trPr>
        <w:tc>
          <w:tcPr>
            <w:tcW w:w="9640" w:type="dxa"/>
            <w:tcBorders>
              <w:top w:val="nil"/>
              <w:left w:val="nil"/>
              <w:bottom w:val="nil"/>
              <w:right w:val="nil"/>
            </w:tcBorders>
            <w:shd w:val="clear" w:color="auto" w:fill="FFFFFF"/>
            <w:vAlign w:val="center"/>
          </w:tcPr>
          <w:p w14:paraId="461C637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13.1. Méthodes de traitement des déchets</w:t>
            </w:r>
          </w:p>
        </w:tc>
      </w:tr>
    </w:tbl>
    <w:p w14:paraId="4FD7DE49"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777838B"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EFE29FD"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13.1.1 Disposition relative au produit/à l'emballage:</w:t>
      </w:r>
    </w:p>
    <w:p w14:paraId="679D951E"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Liste des codes/désignations de déchets proposés conformément au CED.</w:t>
      </w:r>
    </w:p>
    <w:p w14:paraId="236E814F"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déchets doivent être éliminés conformément à la réglementation locale. Les codes de déchet doivent être attribués par l'utilisateur, de préférence en concertation avec les autorités d'élimination des déchets.</w:t>
      </w:r>
    </w:p>
    <w:p w14:paraId="61636C45"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p>
    <w:p w14:paraId="3E3D723A"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13.1.2 Traitement des déchets - information pertinente:</w:t>
      </w:r>
    </w:p>
    <w:p w14:paraId="71DA391C" w14:textId="167C00DF" w:rsidR="000475A2" w:rsidRDefault="000C0BB9"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Ils peuvent être incinérés avec les ordures ménagères en conformité avec les règlements techniques applicables après consultation des sociétés de gestion d'élimination des déchets agréée</w:t>
      </w:r>
      <w:r w:rsidR="000475A2">
        <w:rPr>
          <w:rFonts w:ascii="Arial" w:hAnsi="Arial" w:cs="Arial"/>
          <w:kern w:val="0"/>
          <w:sz w:val="20"/>
          <w:szCs w:val="20"/>
        </w:rPr>
        <w:t>s et des autorités en charge.</w:t>
      </w:r>
    </w:p>
    <w:p w14:paraId="5BCDEE6B"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p>
    <w:p w14:paraId="06405378"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13.1.3 Evacuation des eaux usées - information pertinente:</w:t>
      </w:r>
    </w:p>
    <w:p w14:paraId="6CCED8D7"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 rejet dans l'environnement ou le réseau d'égouts est interdit. Elles doivent être traitées comme des déchets dangereux.</w:t>
      </w:r>
    </w:p>
    <w:p w14:paraId="56619D6D"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p>
    <w:p w14:paraId="79E13908"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13.1.4 Autres recommandations d'élimination:</w:t>
      </w:r>
    </w:p>
    <w:p w14:paraId="5055F153" w14:textId="77777777" w:rsidR="000475A2" w:rsidRDefault="000475A2"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Manipuler les emballages contaminés de la même manière que la substance elle-même.</w:t>
      </w:r>
    </w:p>
    <w:p w14:paraId="5653E8C5" w14:textId="0C17DC1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p>
    <w:p w14:paraId="6C15B544"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A439604"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DDEDFC3"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5A3AFA2E"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8/11</w:t>
      </w:r>
    </w:p>
    <w:p w14:paraId="239C9559"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91A3A9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E479D9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C75435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9A4E46D"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5DC0DA0"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24153118"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6039FC6"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C09281B"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66546B19"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F9D8F5F"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A9221ED"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606774D0" w14:textId="4632874C" w:rsidR="000C0BB9" w:rsidRDefault="000C0BB9" w:rsidP="000475A2">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1B35D9" w14:paraId="78F7AAAF" w14:textId="77777777" w:rsidTr="000475A2">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8860842"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14: INFORMATIONS RELATIVES AU TRANSPORT</w:t>
            </w:r>
          </w:p>
        </w:tc>
      </w:tr>
    </w:tbl>
    <w:p w14:paraId="505BEC31" w14:textId="77777777" w:rsidR="000C0BB9" w:rsidRDefault="000C0BB9">
      <w:pPr>
        <w:widowControl w:val="0"/>
        <w:autoSpaceDE w:val="0"/>
        <w:autoSpaceDN w:val="0"/>
        <w:adjustRightInd w:val="0"/>
        <w:spacing w:after="0" w:line="240" w:lineRule="auto"/>
        <w:rPr>
          <w:rFonts w:ascii="Arial" w:hAnsi="Arial" w:cs="Arial"/>
          <w:color w:val="000000"/>
          <w:kern w:val="0"/>
          <w:sz w:val="22"/>
          <w:szCs w:val="22"/>
        </w:rPr>
      </w:pPr>
    </w:p>
    <w:p w14:paraId="7180EDF0"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7A34FDBB"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5DF6DE5A"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En cas de fuite accidentelle ou d'incendie durant le transport, se référer aux instructions données aux points 5, 6, 7 et 8 ci-dessus.</w:t>
      </w:r>
    </w:p>
    <w:p w14:paraId="07C65EB8"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602C7BC1"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C8558BC" w14:textId="77777777">
        <w:trPr>
          <w:trHeight w:hRule="exact" w:val="334"/>
        </w:trPr>
        <w:tc>
          <w:tcPr>
            <w:tcW w:w="9640" w:type="dxa"/>
            <w:tcBorders>
              <w:top w:val="nil"/>
              <w:left w:val="nil"/>
              <w:bottom w:val="nil"/>
              <w:right w:val="nil"/>
            </w:tcBorders>
            <w:shd w:val="clear" w:color="auto" w:fill="FFFFFF"/>
            <w:vAlign w:val="center"/>
          </w:tcPr>
          <w:p w14:paraId="25947CD2"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14.1. Numéro ONU ou numéro d’identification</w:t>
            </w:r>
          </w:p>
        </w:tc>
      </w:tr>
    </w:tbl>
    <w:p w14:paraId="3A0E4BA5"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A4CCA">
        <w:rPr>
          <w:rFonts w:ascii="Arial" w:hAnsi="Arial" w:cs="Arial"/>
          <w:color w:val="000000"/>
          <w:kern w:val="0"/>
          <w:sz w:val="18"/>
          <w:szCs w:val="18"/>
          <w:lang w:val="it-IT"/>
        </w:rPr>
        <w:t>ADR : NON REGLEMENTE</w:t>
      </w:r>
    </w:p>
    <w:p w14:paraId="5178DC12"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IMDG:NON REGLEMENTE</w:t>
      </w:r>
    </w:p>
    <w:p w14:paraId="249F844B"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IATA :NON REGLEMENTE</w:t>
      </w:r>
    </w:p>
    <w:p w14:paraId="16A2FE5A" w14:textId="77777777" w:rsidR="000C0BB9" w:rsidRPr="00CA4CCA" w:rsidRDefault="000C0BB9">
      <w:pPr>
        <w:widowControl w:val="0"/>
        <w:autoSpaceDE w:val="0"/>
        <w:autoSpaceDN w:val="0"/>
        <w:adjustRightInd w:val="0"/>
        <w:spacing w:after="0" w:line="240" w:lineRule="auto"/>
        <w:rPr>
          <w:rFonts w:ascii="Arial" w:hAnsi="Arial" w:cs="Arial"/>
          <w:color w:val="000000"/>
          <w:kern w:val="0"/>
          <w:sz w:val="10"/>
          <w:szCs w:val="10"/>
          <w:lang w:val="it-IT"/>
        </w:rPr>
      </w:pPr>
    </w:p>
    <w:p w14:paraId="060472A7"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sidRPr="00CA4CCA">
        <w:rPr>
          <w:rFonts w:ascii="Times New Roman" w:hAnsi="Times New Roman" w:cs="Times New Roman"/>
          <w:kern w:val="0"/>
          <w:lang w:val="it-IT"/>
        </w:rPr>
        <w:tab/>
      </w:r>
      <w:r>
        <w:rPr>
          <w:rFonts w:ascii="Arial" w:hAnsi="Arial" w:cs="Arial"/>
          <w:kern w:val="0"/>
          <w:sz w:val="16"/>
          <w:szCs w:val="16"/>
        </w:rPr>
        <w:t>3082 MATIÈRE DANGEREUSE DU POINT DE VUE DE L'ENVIRONNEMENT, LIQUIDE, N.S.A. (benzyl benzoate), 9, III</w:t>
      </w:r>
    </w:p>
    <w:p w14:paraId="73AF2DBB"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3082 MATIÈRE DANGEREUSE DU POINT DE VUE DE L'ENVIRONNEMENT, LIQUIDE, N.S.A. (benzyl benzoate), 9, III</w:t>
      </w:r>
    </w:p>
    <w:p w14:paraId="227A6090" w14:textId="77777777" w:rsidR="000C0BB9" w:rsidRDefault="000C0BB9">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3082 MATIÈRE DANGEREUSE DU POINT DE VUE DE L'ENVIRONNEMENT, LIQUIDE, N.S.A. (benzyl benzoate), 9, III</w:t>
      </w:r>
    </w:p>
    <w:p w14:paraId="4BD73114"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p>
    <w:p w14:paraId="45F436EB"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026625F" w14:textId="77777777">
        <w:trPr>
          <w:trHeight w:hRule="exact" w:val="334"/>
        </w:trPr>
        <w:tc>
          <w:tcPr>
            <w:tcW w:w="9640" w:type="dxa"/>
            <w:tcBorders>
              <w:top w:val="nil"/>
              <w:left w:val="nil"/>
              <w:bottom w:val="nil"/>
              <w:right w:val="nil"/>
            </w:tcBorders>
            <w:shd w:val="clear" w:color="auto" w:fill="FFFFFF"/>
            <w:vAlign w:val="center"/>
          </w:tcPr>
          <w:p w14:paraId="44EBABB0"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14.2. Désignation officielle de transport de l'ONU</w:t>
            </w:r>
          </w:p>
        </w:tc>
      </w:tr>
    </w:tbl>
    <w:p w14:paraId="26291E20"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12758985"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A4CCA">
        <w:rPr>
          <w:rFonts w:ascii="Arial" w:hAnsi="Arial" w:cs="Arial"/>
          <w:color w:val="000000"/>
          <w:kern w:val="0"/>
          <w:sz w:val="18"/>
          <w:szCs w:val="18"/>
          <w:lang w:val="it-IT"/>
        </w:rPr>
        <w:t>ADR : NON REGLEMENTE</w:t>
      </w:r>
    </w:p>
    <w:p w14:paraId="42296944"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IMDG:NON REGLEMENTE</w:t>
      </w:r>
    </w:p>
    <w:p w14:paraId="49B82726"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IATA :NON REGLEMENTE</w:t>
      </w:r>
    </w:p>
    <w:p w14:paraId="38C2C7A7" w14:textId="77777777" w:rsidR="000C0BB9" w:rsidRPr="00CA4CCA" w:rsidRDefault="000C0BB9">
      <w:pPr>
        <w:widowControl w:val="0"/>
        <w:autoSpaceDE w:val="0"/>
        <w:autoSpaceDN w:val="0"/>
        <w:adjustRightInd w:val="0"/>
        <w:spacing w:after="0" w:line="240" w:lineRule="auto"/>
        <w:rPr>
          <w:rFonts w:ascii="Arial" w:hAnsi="Arial" w:cs="Arial"/>
          <w:color w:val="000000"/>
          <w:kern w:val="0"/>
          <w:sz w:val="20"/>
          <w:szCs w:val="20"/>
          <w:lang w:val="it-IT"/>
        </w:rPr>
      </w:pPr>
    </w:p>
    <w:p w14:paraId="23722C42" w14:textId="77777777" w:rsidR="000C0BB9" w:rsidRPr="00CA4CCA" w:rsidRDefault="000C0BB9">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355D2DA" w14:textId="77777777">
        <w:trPr>
          <w:trHeight w:hRule="exact" w:val="334"/>
        </w:trPr>
        <w:tc>
          <w:tcPr>
            <w:tcW w:w="9640" w:type="dxa"/>
            <w:tcBorders>
              <w:top w:val="nil"/>
              <w:left w:val="nil"/>
              <w:bottom w:val="nil"/>
              <w:right w:val="nil"/>
            </w:tcBorders>
            <w:shd w:val="clear" w:color="auto" w:fill="FFFFFF"/>
            <w:vAlign w:val="center"/>
          </w:tcPr>
          <w:p w14:paraId="6E18AA9A"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CA4CCA">
              <w:rPr>
                <w:rFonts w:ascii="Times New Roman" w:hAnsi="Times New Roman" w:cs="Times New Roman"/>
                <w:kern w:val="0"/>
                <w:lang w:val="it-IT"/>
              </w:rPr>
              <w:tab/>
            </w:r>
            <w:r>
              <w:rPr>
                <w:rFonts w:ascii="Arial" w:hAnsi="Arial" w:cs="Arial"/>
                <w:color w:val="000000"/>
                <w:kern w:val="0"/>
                <w:sz w:val="20"/>
                <w:szCs w:val="20"/>
              </w:rPr>
              <w:t>14.3. Classe(s) de danger pour le transport</w:t>
            </w:r>
          </w:p>
        </w:tc>
      </w:tr>
    </w:tbl>
    <w:p w14:paraId="4E86C73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CA2BB4F"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A4CCA">
        <w:rPr>
          <w:rFonts w:ascii="Arial" w:hAnsi="Arial" w:cs="Arial"/>
          <w:color w:val="000000"/>
          <w:kern w:val="0"/>
          <w:sz w:val="18"/>
          <w:szCs w:val="18"/>
          <w:lang w:val="it-IT"/>
        </w:rPr>
        <w:t>ADR : NON REGLEMENTE</w:t>
      </w:r>
    </w:p>
    <w:p w14:paraId="69F8B9B0"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IMDG:NON REGLEMENTE</w:t>
      </w:r>
    </w:p>
    <w:p w14:paraId="05F875AC" w14:textId="77777777" w:rsidR="000C0BB9" w:rsidRPr="00CA4CCA"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A4CCA">
        <w:rPr>
          <w:rFonts w:ascii="Arial" w:hAnsi="Arial" w:cs="Arial"/>
          <w:color w:val="000000"/>
          <w:kern w:val="0"/>
          <w:sz w:val="18"/>
          <w:szCs w:val="18"/>
          <w:lang w:val="it-IT"/>
        </w:rPr>
        <w:tab/>
        <w:t>IATA :NON REGLEMENTE</w:t>
      </w:r>
    </w:p>
    <w:p w14:paraId="27C70E12" w14:textId="77777777" w:rsidR="000C0BB9" w:rsidRPr="00CA4CCA" w:rsidRDefault="000C0BB9">
      <w:pPr>
        <w:widowControl w:val="0"/>
        <w:autoSpaceDE w:val="0"/>
        <w:autoSpaceDN w:val="0"/>
        <w:adjustRightInd w:val="0"/>
        <w:spacing w:after="0" w:line="240" w:lineRule="auto"/>
        <w:rPr>
          <w:rFonts w:ascii="Arial" w:hAnsi="Arial" w:cs="Arial"/>
          <w:color w:val="000000"/>
          <w:kern w:val="0"/>
          <w:sz w:val="20"/>
          <w:szCs w:val="20"/>
          <w:lang w:val="it-IT"/>
        </w:rPr>
      </w:pPr>
    </w:p>
    <w:p w14:paraId="1A738010" w14:textId="77777777" w:rsidR="000C0BB9" w:rsidRPr="00CA4CCA" w:rsidRDefault="000C0BB9">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AE6361C" w14:textId="77777777">
        <w:trPr>
          <w:trHeight w:hRule="exact" w:val="334"/>
        </w:trPr>
        <w:tc>
          <w:tcPr>
            <w:tcW w:w="9640" w:type="dxa"/>
            <w:tcBorders>
              <w:top w:val="nil"/>
              <w:left w:val="nil"/>
              <w:bottom w:val="nil"/>
              <w:right w:val="nil"/>
            </w:tcBorders>
            <w:shd w:val="clear" w:color="auto" w:fill="FFFFFF"/>
            <w:vAlign w:val="center"/>
          </w:tcPr>
          <w:p w14:paraId="5C04B024"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CA4CCA">
              <w:rPr>
                <w:rFonts w:ascii="Times New Roman" w:hAnsi="Times New Roman" w:cs="Times New Roman"/>
                <w:kern w:val="0"/>
                <w:lang w:val="it-IT"/>
              </w:rPr>
              <w:tab/>
            </w:r>
            <w:r>
              <w:rPr>
                <w:rFonts w:ascii="Arial" w:hAnsi="Arial" w:cs="Arial"/>
                <w:color w:val="000000"/>
                <w:kern w:val="0"/>
                <w:sz w:val="20"/>
                <w:szCs w:val="20"/>
              </w:rPr>
              <w:t>14.4. Groupe d’emballage</w:t>
            </w:r>
          </w:p>
        </w:tc>
      </w:tr>
    </w:tbl>
    <w:p w14:paraId="2CB6B2A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7EF97E3"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DA2D1A8"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ADR : NON REGLEMENTE</w:t>
      </w:r>
    </w:p>
    <w:p w14:paraId="2A51ECF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IMDG:NON REGLEMENTE</w:t>
      </w:r>
    </w:p>
    <w:p w14:paraId="23FD0F9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IATA :NON REGLEMENTE</w:t>
      </w:r>
    </w:p>
    <w:p w14:paraId="3E4B9C0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5AD644C"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6247324" w14:textId="77777777">
        <w:trPr>
          <w:trHeight w:hRule="exact" w:val="334"/>
        </w:trPr>
        <w:tc>
          <w:tcPr>
            <w:tcW w:w="9640" w:type="dxa"/>
            <w:tcBorders>
              <w:top w:val="nil"/>
              <w:left w:val="nil"/>
              <w:bottom w:val="nil"/>
              <w:right w:val="nil"/>
            </w:tcBorders>
            <w:shd w:val="clear" w:color="auto" w:fill="FFFFFF"/>
            <w:vAlign w:val="center"/>
          </w:tcPr>
          <w:p w14:paraId="17EDBAD0"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14.5. Dangers pour l’environnement</w:t>
            </w:r>
          </w:p>
        </w:tc>
      </w:tr>
    </w:tbl>
    <w:p w14:paraId="0F61DAB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380F44AA"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3CCA0679"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IMDG : NON REGLEMENTE</w:t>
      </w:r>
    </w:p>
    <w:p w14:paraId="2D672C3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A1744A4"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3E867313" w14:textId="77777777">
        <w:trPr>
          <w:trHeight w:hRule="exact" w:val="334"/>
        </w:trPr>
        <w:tc>
          <w:tcPr>
            <w:tcW w:w="9640" w:type="dxa"/>
            <w:tcBorders>
              <w:top w:val="nil"/>
              <w:left w:val="nil"/>
              <w:bottom w:val="nil"/>
              <w:right w:val="nil"/>
            </w:tcBorders>
            <w:shd w:val="clear" w:color="auto" w:fill="FFFFFF"/>
            <w:vAlign w:val="center"/>
          </w:tcPr>
          <w:p w14:paraId="19B1368D"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14.6. Précautions particulières à prendre par l’utilisateur</w:t>
            </w:r>
          </w:p>
        </w:tc>
      </w:tr>
    </w:tbl>
    <w:p w14:paraId="46F96E0D"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69FFD3D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66FE21D"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D422CA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EB8E74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68C6C80"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42B33B4" w14:textId="77777777" w:rsidR="000C0BB9" w:rsidRDefault="000C0BB9">
      <w:pPr>
        <w:widowControl w:val="0"/>
        <w:autoSpaceDE w:val="0"/>
        <w:autoSpaceDN w:val="0"/>
        <w:adjustRightInd w:val="0"/>
        <w:spacing w:after="0" w:line="240" w:lineRule="auto"/>
        <w:rPr>
          <w:rFonts w:ascii="Arial" w:hAnsi="Arial" w:cs="Arial"/>
          <w:color w:val="000000"/>
          <w:kern w:val="0"/>
          <w:sz w:val="9"/>
          <w:szCs w:val="9"/>
        </w:rPr>
      </w:pPr>
    </w:p>
    <w:p w14:paraId="386B6BFD"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9/11</w:t>
      </w:r>
    </w:p>
    <w:p w14:paraId="0C1A9C7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73F0FC4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F0B56CE"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10E1864"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44CAA266"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CC4F674"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07679B1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B2F79FD"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CB522A3"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3BFE8EEC"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FBDC70E"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1E8A3D54" w14:textId="77777777" w:rsidR="000C0BB9" w:rsidRDefault="000C0BB9">
      <w:pPr>
        <w:widowControl w:val="0"/>
        <w:autoSpaceDE w:val="0"/>
        <w:autoSpaceDN w:val="0"/>
        <w:adjustRightInd w:val="0"/>
        <w:spacing w:after="0" w:line="240" w:lineRule="auto"/>
        <w:rPr>
          <w:rFonts w:ascii="Arial" w:hAnsi="Arial" w:cs="Arial"/>
          <w:color w:val="000000"/>
          <w:kern w:val="0"/>
          <w:sz w:val="16"/>
          <w:szCs w:val="16"/>
        </w:rPr>
      </w:pPr>
    </w:p>
    <w:p w14:paraId="385F7FCE"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42B6D5D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B36179B"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29B53E3D" w14:textId="77777777">
        <w:trPr>
          <w:trHeight w:hRule="exact" w:val="334"/>
        </w:trPr>
        <w:tc>
          <w:tcPr>
            <w:tcW w:w="9640" w:type="dxa"/>
            <w:tcBorders>
              <w:top w:val="nil"/>
              <w:left w:val="nil"/>
              <w:bottom w:val="nil"/>
              <w:right w:val="nil"/>
            </w:tcBorders>
            <w:shd w:val="clear" w:color="auto" w:fill="FFFFFF"/>
            <w:vAlign w:val="center"/>
          </w:tcPr>
          <w:p w14:paraId="65347D3B"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14.7. Transport maritime en vrac conformément aux instruments de l’OMI</w:t>
            </w:r>
          </w:p>
        </w:tc>
      </w:tr>
    </w:tbl>
    <w:p w14:paraId="29218307"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05AC675B"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4205D04C"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7414BCF6" w14:textId="77777777" w:rsidR="000C0BB9" w:rsidRDefault="000C0BB9">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1921C36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AA222E6"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15: INFORMATIONS RELATIVES A LA REGLEMENTATION</w:t>
            </w:r>
          </w:p>
        </w:tc>
      </w:tr>
    </w:tbl>
    <w:p w14:paraId="3F50E9FB"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E2D0D30" w14:textId="77777777" w:rsidR="000C0BB9" w:rsidRDefault="000C0BB9">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10F4153D" w14:textId="77777777">
        <w:trPr>
          <w:trHeight w:hRule="exact" w:val="555"/>
        </w:trPr>
        <w:tc>
          <w:tcPr>
            <w:tcW w:w="9640" w:type="dxa"/>
            <w:tcBorders>
              <w:top w:val="nil"/>
              <w:left w:val="nil"/>
              <w:bottom w:val="nil"/>
              <w:right w:val="nil"/>
            </w:tcBorders>
            <w:shd w:val="clear" w:color="auto" w:fill="FFFFFF"/>
            <w:vAlign w:val="center"/>
          </w:tcPr>
          <w:p w14:paraId="415FBD75"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15.1. Réglementations/législation particulières à la substance ou au mélange en matière de sécurité, de santé et d'environnement</w:t>
            </w:r>
          </w:p>
        </w:tc>
      </w:tr>
    </w:tbl>
    <w:p w14:paraId="7EDF6F91"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CC80689"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0AF8F2A"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Règlements de l'UE:</w:t>
      </w:r>
    </w:p>
    <w:p w14:paraId="6A13E61E"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86FFF05"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1B9713E6"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0DE3110F"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5B123042"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63D23C93"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136AC320"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 xml:space="preserve">Autre législation de l'UE: </w:t>
      </w:r>
    </w:p>
    <w:p w14:paraId="01CC4F70"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DIRECTIVE 2008/98/CE DU PARLEMENT EUROPÉEN ET DU CONSEIL du 19 novembre 2008 relative aux déchets et abrogeant certaines directives.</w:t>
      </w:r>
    </w:p>
    <w:p w14:paraId="161020A1"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03C08906"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0C556F11"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B35D9" w14:paraId="49527CD6" w14:textId="77777777">
        <w:trPr>
          <w:trHeight w:hRule="exact" w:val="334"/>
        </w:trPr>
        <w:tc>
          <w:tcPr>
            <w:tcW w:w="9640" w:type="dxa"/>
            <w:tcBorders>
              <w:top w:val="nil"/>
              <w:left w:val="nil"/>
              <w:bottom w:val="nil"/>
              <w:right w:val="nil"/>
            </w:tcBorders>
            <w:shd w:val="clear" w:color="auto" w:fill="FFFFFF"/>
            <w:vAlign w:val="center"/>
          </w:tcPr>
          <w:p w14:paraId="4492A861"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15.2. Évaluation de la sécurité chimique</w:t>
            </w:r>
          </w:p>
        </w:tc>
      </w:tr>
    </w:tbl>
    <w:p w14:paraId="7C8BF149"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FB46BAB"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67933332" w14:textId="77777777" w:rsidR="000C0BB9" w:rsidRDefault="000C0BB9">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Arial" w:hAnsi="Arial" w:cs="Arial"/>
          <w:kern w:val="0"/>
          <w:sz w:val="20"/>
          <w:szCs w:val="20"/>
        </w:rPr>
        <w:t>Aucune évaluation de la sécurité chimique n'a été réalisée pour cette substance/ce mélange par le fournisseur.</w:t>
      </w:r>
    </w:p>
    <w:p w14:paraId="56124236"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1B35D9" w14:paraId="59FA3FE6"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582E790" w14:textId="77777777" w:rsidR="000C0BB9" w:rsidRDefault="000C0BB9">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16: AUTRES INFORMATIONS</w:t>
            </w:r>
          </w:p>
        </w:tc>
      </w:tr>
    </w:tbl>
    <w:p w14:paraId="70724A6C" w14:textId="77777777" w:rsidR="000C0BB9" w:rsidRDefault="000C0BB9">
      <w:pPr>
        <w:widowControl w:val="0"/>
        <w:autoSpaceDE w:val="0"/>
        <w:autoSpaceDN w:val="0"/>
        <w:adjustRightInd w:val="0"/>
        <w:spacing w:after="0" w:line="240" w:lineRule="auto"/>
        <w:rPr>
          <w:rFonts w:ascii="Arial" w:hAnsi="Arial" w:cs="Arial"/>
          <w:color w:val="000000"/>
          <w:kern w:val="0"/>
          <w:sz w:val="22"/>
          <w:szCs w:val="22"/>
        </w:rPr>
      </w:pPr>
    </w:p>
    <w:p w14:paraId="6B9DF257"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2566DD08"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Texte intégral des phrases H citées en point 3</w:t>
      </w:r>
    </w:p>
    <w:p w14:paraId="763A4542"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347FEE83"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H302</w:t>
      </w:r>
      <w:r>
        <w:rPr>
          <w:rFonts w:ascii="Arial" w:hAnsi="Arial" w:cs="Arial"/>
          <w:b/>
          <w:bCs/>
          <w:color w:val="000000"/>
          <w:kern w:val="0"/>
          <w:sz w:val="18"/>
          <w:szCs w:val="18"/>
        </w:rPr>
        <w:tab/>
        <w:t>Nocif en cas d'ingestion.</w:t>
      </w:r>
    </w:p>
    <w:p w14:paraId="2AEDE30B"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032BF378"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H317</w:t>
      </w:r>
      <w:r>
        <w:rPr>
          <w:rFonts w:ascii="Arial" w:hAnsi="Arial" w:cs="Arial"/>
          <w:b/>
          <w:bCs/>
          <w:color w:val="000000"/>
          <w:kern w:val="0"/>
          <w:sz w:val="18"/>
          <w:szCs w:val="18"/>
        </w:rPr>
        <w:tab/>
        <w:t>Peut provoquer une allergie cutanée.</w:t>
      </w:r>
    </w:p>
    <w:p w14:paraId="4827E73C"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3DDEBBD2"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H319</w:t>
      </w:r>
      <w:r>
        <w:rPr>
          <w:rFonts w:ascii="Arial" w:hAnsi="Arial" w:cs="Arial"/>
          <w:b/>
          <w:bCs/>
          <w:color w:val="000000"/>
          <w:kern w:val="0"/>
          <w:sz w:val="18"/>
          <w:szCs w:val="18"/>
        </w:rPr>
        <w:tab/>
        <w:t>Provoque une sévère irritation des yeux.</w:t>
      </w:r>
    </w:p>
    <w:p w14:paraId="24D83BA9"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16758A1B"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H400</w:t>
      </w:r>
      <w:r>
        <w:rPr>
          <w:rFonts w:ascii="Arial" w:hAnsi="Arial" w:cs="Arial"/>
          <w:b/>
          <w:bCs/>
          <w:color w:val="000000"/>
          <w:kern w:val="0"/>
          <w:sz w:val="18"/>
          <w:szCs w:val="18"/>
        </w:rPr>
        <w:tab/>
        <w:t>Très toxique pour les organismes aquatiques.</w:t>
      </w:r>
    </w:p>
    <w:p w14:paraId="363FDAC4"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4AB86A71"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H410</w:t>
      </w:r>
      <w:r>
        <w:rPr>
          <w:rFonts w:ascii="Arial" w:hAnsi="Arial" w:cs="Arial"/>
          <w:b/>
          <w:bCs/>
          <w:color w:val="000000"/>
          <w:kern w:val="0"/>
          <w:sz w:val="18"/>
          <w:szCs w:val="18"/>
        </w:rPr>
        <w:tab/>
        <w:t>Très toxique pour les organismes aquatiques, entraîne des effets néfastes à long terme.</w:t>
      </w:r>
    </w:p>
    <w:p w14:paraId="1FD857B4"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49A96863"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H411</w:t>
      </w:r>
      <w:r>
        <w:rPr>
          <w:rFonts w:ascii="Arial" w:hAnsi="Arial" w:cs="Arial"/>
          <w:b/>
          <w:bCs/>
          <w:color w:val="000000"/>
          <w:kern w:val="0"/>
          <w:sz w:val="18"/>
          <w:szCs w:val="18"/>
        </w:rPr>
        <w:tab/>
        <w:t>Toxique pour les organismes aquatiques, entraîne des effets néfastes à long terme.</w:t>
      </w:r>
    </w:p>
    <w:p w14:paraId="03166932"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0DCE64BB" w14:textId="77777777" w:rsidR="000C0BB9" w:rsidRDefault="000C0BB9">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H412</w:t>
      </w:r>
      <w:r>
        <w:rPr>
          <w:rFonts w:ascii="Arial" w:hAnsi="Arial" w:cs="Arial"/>
          <w:b/>
          <w:bCs/>
          <w:color w:val="000000"/>
          <w:kern w:val="0"/>
          <w:sz w:val="18"/>
          <w:szCs w:val="18"/>
        </w:rPr>
        <w:tab/>
        <w:t>Nocif pour les organismes aquatiques, entraîne des effets néfastes à long terme.</w:t>
      </w:r>
    </w:p>
    <w:p w14:paraId="41FB0AF0" w14:textId="77777777" w:rsidR="000C0BB9" w:rsidRDefault="000C0BB9">
      <w:pPr>
        <w:widowControl w:val="0"/>
        <w:autoSpaceDE w:val="0"/>
        <w:autoSpaceDN w:val="0"/>
        <w:adjustRightInd w:val="0"/>
        <w:spacing w:after="0" w:line="240" w:lineRule="auto"/>
        <w:rPr>
          <w:rFonts w:ascii="Arial" w:hAnsi="Arial" w:cs="Arial"/>
          <w:b/>
          <w:bCs/>
          <w:color w:val="000000"/>
          <w:kern w:val="0"/>
          <w:sz w:val="8"/>
          <w:szCs w:val="8"/>
        </w:rPr>
      </w:pPr>
    </w:p>
    <w:p w14:paraId="56DF8216"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Abréviations et acronymes:</w:t>
      </w:r>
    </w:p>
    <w:p w14:paraId="578E6B38" w14:textId="50672116"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rPr>
      </w:pPr>
      <w:r>
        <w:rPr>
          <w:rFonts w:ascii="Arial" w:hAnsi="Arial" w:cs="Arial"/>
          <w:kern w:val="0"/>
          <w:sz w:val="20"/>
          <w:szCs w:val="20"/>
        </w:rPr>
        <w:t>ADN: Accord européen relatif au transport international des marchandises Dange</w:t>
      </w:r>
      <w:r w:rsidR="000475A2">
        <w:rPr>
          <w:rFonts w:ascii="Arial" w:hAnsi="Arial" w:cs="Arial"/>
          <w:kern w:val="0"/>
          <w:sz w:val="20"/>
          <w:szCs w:val="20"/>
        </w:rPr>
        <w:t>reuses par voie de Navigation intérieure.</w:t>
      </w:r>
    </w:p>
    <w:p w14:paraId="0DB42C66"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F08D2FA" w14:textId="77777777" w:rsidR="000C0BB9" w:rsidRDefault="000C0BB9">
      <w:pPr>
        <w:widowControl w:val="0"/>
        <w:autoSpaceDE w:val="0"/>
        <w:autoSpaceDN w:val="0"/>
        <w:adjustRightInd w:val="0"/>
        <w:spacing w:after="0" w:line="240" w:lineRule="auto"/>
        <w:rPr>
          <w:rFonts w:ascii="Times New Roman" w:hAnsi="Times New Roman" w:cs="Times New Roman"/>
          <w:kern w:val="0"/>
          <w:sz w:val="2"/>
          <w:szCs w:val="2"/>
        </w:rPr>
      </w:pPr>
    </w:p>
    <w:p w14:paraId="00928B87"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10/11</w:t>
      </w:r>
    </w:p>
    <w:p w14:paraId="10FF713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2A632A7"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2CF20B72"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5CADDD48"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150EF295" w14:textId="77777777" w:rsidR="000C0BB9" w:rsidRDefault="000C0BB9">
      <w:pPr>
        <w:widowControl w:val="0"/>
        <w:autoSpaceDE w:val="0"/>
        <w:autoSpaceDN w:val="0"/>
        <w:adjustRightInd w:val="0"/>
        <w:spacing w:after="0" w:line="240" w:lineRule="auto"/>
        <w:rPr>
          <w:rFonts w:ascii="Arial" w:hAnsi="Arial" w:cs="Arial"/>
          <w:color w:val="000000"/>
          <w:kern w:val="0"/>
          <w:sz w:val="20"/>
          <w:szCs w:val="20"/>
        </w:rPr>
      </w:pPr>
    </w:p>
    <w:p w14:paraId="797CEAA2" w14:textId="77777777" w:rsidR="000C0BB9" w:rsidRDefault="000C0BB9">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1B35D9" w14:paraId="315E36D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8424502" w14:textId="77777777" w:rsidR="000C0BB9" w:rsidRDefault="000C0BB9">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0669C8A5" w14:textId="77777777" w:rsidR="000C0BB9" w:rsidRDefault="000C0BB9">
      <w:pPr>
        <w:widowControl w:val="0"/>
        <w:autoSpaceDE w:val="0"/>
        <w:autoSpaceDN w:val="0"/>
        <w:adjustRightInd w:val="0"/>
        <w:spacing w:after="0" w:line="240" w:lineRule="auto"/>
        <w:rPr>
          <w:rFonts w:ascii="Arial" w:hAnsi="Arial" w:cs="Arial"/>
          <w:color w:val="000000"/>
          <w:kern w:val="0"/>
          <w:sz w:val="36"/>
          <w:szCs w:val="36"/>
        </w:rPr>
      </w:pPr>
    </w:p>
    <w:p w14:paraId="234317D1"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5FF57767" w14:textId="77777777" w:rsidR="000C0BB9" w:rsidRDefault="000C0BB9">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20/03/2025</w:t>
      </w:r>
      <w:r>
        <w:rPr>
          <w:rFonts w:ascii="Times New Roman" w:hAnsi="Times New Roman" w:cs="Times New Roman"/>
          <w:kern w:val="0"/>
        </w:rPr>
        <w:tab/>
      </w:r>
      <w:r>
        <w:rPr>
          <w:rFonts w:ascii="Arial" w:hAnsi="Arial" w:cs="Arial"/>
          <w:color w:val="000000"/>
          <w:kern w:val="0"/>
          <w:sz w:val="16"/>
          <w:szCs w:val="16"/>
        </w:rPr>
        <w:t>FLEURS BLANCHES 7%</w:t>
      </w:r>
      <w:r>
        <w:rPr>
          <w:rFonts w:ascii="Times New Roman" w:hAnsi="Times New Roman" w:cs="Times New Roman"/>
          <w:kern w:val="0"/>
        </w:rPr>
        <w:tab/>
      </w:r>
      <w:r>
        <w:rPr>
          <w:rFonts w:ascii="Arial" w:hAnsi="Arial" w:cs="Arial"/>
          <w:color w:val="000000"/>
          <w:kern w:val="0"/>
          <w:sz w:val="16"/>
          <w:szCs w:val="16"/>
        </w:rPr>
        <w:t>Révision : FDS_CLIENT-1-CLP du 20/03/2025</w:t>
      </w:r>
    </w:p>
    <w:p w14:paraId="66F29962" w14:textId="77777777" w:rsidR="000C0BB9" w:rsidRDefault="000C0BB9">
      <w:pPr>
        <w:widowControl w:val="0"/>
        <w:autoSpaceDE w:val="0"/>
        <w:autoSpaceDN w:val="0"/>
        <w:adjustRightInd w:val="0"/>
        <w:spacing w:after="0" w:line="240" w:lineRule="auto"/>
        <w:rPr>
          <w:rFonts w:ascii="Arial" w:hAnsi="Arial" w:cs="Arial"/>
          <w:color w:val="000000"/>
          <w:kern w:val="0"/>
          <w:sz w:val="10"/>
          <w:szCs w:val="10"/>
        </w:rPr>
      </w:pPr>
    </w:p>
    <w:p w14:paraId="03F3452F" w14:textId="08C43B29"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p>
    <w:p w14:paraId="26B1C3DD"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ADR: european Agreement concerning the international carriage of Dangerous goods by Road.</w:t>
      </w:r>
    </w:p>
    <w:p w14:paraId="0CB3BA13"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CAS: Chemical Abstracts Service.</w:t>
      </w:r>
    </w:p>
    <w:p w14:paraId="65F614A3"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 Commission Européenne.</w:t>
      </w:r>
    </w:p>
    <w:p w14:paraId="2C8291B9"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CED: Catalogue Européen des Déchets.</w:t>
      </w:r>
    </w:p>
    <w:p w14:paraId="281D3E40"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CEE: Communauté Economique Européenne.</w:t>
      </w:r>
    </w:p>
    <w:p w14:paraId="04E9E124"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CLP: Classification, Labelling, Packaging.</w:t>
      </w:r>
    </w:p>
    <w:p w14:paraId="1B6EC4EC"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EINECS: European INventory of Existing Commercial chemical Substances.</w:t>
      </w:r>
    </w:p>
    <w:p w14:paraId="038556F9"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GHS: Global Harmonized System.</w:t>
      </w:r>
    </w:p>
    <w:p w14:paraId="2D663BA4"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IATA-DGR : International Air Transport Association - Dangerous Goods Regulations.</w:t>
      </w:r>
    </w:p>
    <w:p w14:paraId="460ACA5C"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IBC: International Code for the Construction and Equipment of Ships Carrying Dangerous Chemicals in Bulk.</w:t>
      </w:r>
    </w:p>
    <w:p w14:paraId="270205B6"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ICAO-TI: International Civil Aviation Organization - Technical Instructions.</w:t>
      </w:r>
    </w:p>
    <w:p w14:paraId="13A1EC3D"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IMDG : International Maritime Dangerous Goods.</w:t>
      </w:r>
    </w:p>
    <w:p w14:paraId="45F0A0D3"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OMI: Organisation Maritime Internationale.</w:t>
      </w:r>
    </w:p>
    <w:p w14:paraId="3B568F20"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ONU: Organisation des Nations Unies.</w:t>
      </w:r>
    </w:p>
    <w:p w14:paraId="02BD9B9D"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PBT: Persistent, Bioaccumulative, Toxic.</w:t>
      </w:r>
    </w:p>
    <w:p w14:paraId="3F079979"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REACH: Registration, Evaluation, Authorisation and Restriction of CHemicals.</w:t>
      </w:r>
    </w:p>
    <w:p w14:paraId="21977CB8" w14:textId="77777777" w:rsidR="000C0BB9" w:rsidRPr="00CA4CCA" w:rsidRDefault="000C0BB9">
      <w:pPr>
        <w:widowControl w:val="0"/>
        <w:autoSpaceDE w:val="0"/>
        <w:autoSpaceDN w:val="0"/>
        <w:adjustRightInd w:val="0"/>
        <w:spacing w:after="0" w:line="240" w:lineRule="auto"/>
        <w:jc w:val="both"/>
        <w:rPr>
          <w:rFonts w:ascii="Arial" w:hAnsi="Arial" w:cs="Arial"/>
          <w:color w:val="FFFFFF"/>
          <w:kern w:val="0"/>
          <w:sz w:val="20"/>
          <w:szCs w:val="20"/>
          <w:lang w:val="en-US"/>
        </w:rPr>
      </w:pPr>
      <w:r w:rsidRPr="00CA4CCA">
        <w:rPr>
          <w:rFonts w:ascii="Arial" w:hAnsi="Arial" w:cs="Arial"/>
          <w:kern w:val="0"/>
          <w:sz w:val="20"/>
          <w:szCs w:val="20"/>
          <w:lang w:val="en-US"/>
        </w:rPr>
        <w:t>RID: Regulations concerning the International carriage of Dangerous goods by rail.</w:t>
      </w:r>
    </w:p>
    <w:p w14:paraId="4B986D71"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UE: Union Européenne.</w:t>
      </w:r>
    </w:p>
    <w:p w14:paraId="31AB76A5"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vPvB: very Persistent, very Bioaccumulative.</w:t>
      </w:r>
    </w:p>
    <w:p w14:paraId="19F375AE"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p>
    <w:p w14:paraId="2BF6509B"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renseignements contenus dans cette fiche sont basés sur l'état de nos connaissances relatives au produit concerné au moment de l'émission de cette fiche.</w:t>
      </w:r>
    </w:p>
    <w:p w14:paraId="237F0D39"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L'attention des utilisateurs est en outre attirée sur les risques éventuellement encourus lorsqu'un produit est utilisé à un usage autre que celui pour lequel il a été conçu.</w:t>
      </w:r>
    </w:p>
    <w:p w14:paraId="5C2AFF0D" w14:textId="77777777" w:rsidR="000C0BB9" w:rsidRDefault="000C0BB9">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Ces indications sont fondées sur l'état actuel de nos connaissances, mais ne constituent pas une garantie quant aux propriétés du produit et ne donnent pas lieu à une relation juridique contractuelle.</w:t>
      </w:r>
    </w:p>
    <w:p w14:paraId="78876A2A" w14:textId="77777777" w:rsidR="000C0BB9" w:rsidRDefault="000C0BB9">
      <w:pPr>
        <w:widowControl w:val="0"/>
        <w:autoSpaceDE w:val="0"/>
        <w:autoSpaceDN w:val="0"/>
        <w:adjustRightInd w:val="0"/>
        <w:spacing w:after="0" w:line="240" w:lineRule="auto"/>
        <w:jc w:val="both"/>
        <w:rPr>
          <w:rFonts w:ascii="Verdana" w:hAnsi="Verdana" w:cs="Verdana"/>
          <w:color w:val="FFFFFF"/>
          <w:kern w:val="0"/>
          <w:sz w:val="17"/>
          <w:szCs w:val="17"/>
        </w:rPr>
      </w:pPr>
    </w:p>
    <w:p w14:paraId="7E00C24B" w14:textId="77777777" w:rsidR="000C0BB9" w:rsidRDefault="000C0BB9">
      <w:pPr>
        <w:widowControl w:val="0"/>
        <w:autoSpaceDE w:val="0"/>
        <w:autoSpaceDN w:val="0"/>
        <w:adjustRightInd w:val="0"/>
        <w:spacing w:after="0" w:line="240" w:lineRule="auto"/>
        <w:rPr>
          <w:rFonts w:ascii="MS Shell Dlg" w:hAnsi="MS Shell Dlg" w:cs="MS Shell Dlg"/>
          <w:kern w:val="0"/>
          <w:sz w:val="17"/>
          <w:szCs w:val="17"/>
        </w:rPr>
      </w:pPr>
    </w:p>
    <w:p w14:paraId="7E2AACF4" w14:textId="77777777" w:rsidR="000C0BB9" w:rsidRDefault="000C0BB9">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463A1AA1"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E1C746C"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64AB1638"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2804B06"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ECACF23"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5796721"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D7628AB"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7902ED20"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04FEFFF"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5B6B76C"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1DA75D0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8A91052"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48E3F4F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6C39F6D4"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6BF2552"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6E076978"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2D6600A7"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D33DB6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97535B2"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7099AC60"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276E05A"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589B1BD"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7E747FB7"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56548A70"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44FC761"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3A07BCE"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EBA3DB7"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09DE71F2" w14:textId="77777777" w:rsidR="000C0BB9" w:rsidRDefault="000C0BB9">
      <w:pPr>
        <w:widowControl w:val="0"/>
        <w:autoSpaceDE w:val="0"/>
        <w:autoSpaceDN w:val="0"/>
        <w:adjustRightInd w:val="0"/>
        <w:spacing w:after="0" w:line="240" w:lineRule="auto"/>
        <w:rPr>
          <w:rFonts w:ascii="Times New Roman" w:hAnsi="Times New Roman" w:cs="Times New Roman"/>
          <w:kern w:val="0"/>
          <w:sz w:val="20"/>
          <w:szCs w:val="20"/>
        </w:rPr>
      </w:pPr>
    </w:p>
    <w:p w14:paraId="35C609EF" w14:textId="77777777" w:rsidR="000C0BB9" w:rsidRDefault="000C0BB9">
      <w:pPr>
        <w:widowControl w:val="0"/>
        <w:autoSpaceDE w:val="0"/>
        <w:autoSpaceDN w:val="0"/>
        <w:adjustRightInd w:val="0"/>
        <w:spacing w:after="0" w:line="240" w:lineRule="auto"/>
        <w:rPr>
          <w:rFonts w:ascii="Times New Roman" w:hAnsi="Times New Roman" w:cs="Times New Roman"/>
          <w:kern w:val="0"/>
          <w:sz w:val="8"/>
          <w:szCs w:val="8"/>
        </w:rPr>
      </w:pPr>
    </w:p>
    <w:p w14:paraId="0977F86F" w14:textId="77777777" w:rsidR="000C0BB9" w:rsidRDefault="000C0BB9">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11/11</w:t>
      </w:r>
    </w:p>
    <w:sectPr w:rsidR="000C0BB9">
      <w:pgSz w:w="11907" w:h="16839" w:code="9"/>
      <w:pgMar w:top="0" w:right="1134" w:bottom="567"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56"/>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5A2"/>
    <w:rsid w:val="000348CD"/>
    <w:rsid w:val="000475A2"/>
    <w:rsid w:val="000C0BB9"/>
    <w:rsid w:val="001B35D9"/>
    <w:rsid w:val="001D5150"/>
    <w:rsid w:val="00CA4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71161EB"/>
  <w14:defaultImageDpi w14:val="0"/>
  <w15:docId w15:val="{79630A50-AC8B-4407-859A-DA6D0EED5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2872</Words>
  <Characters>18359</Characters>
  <Application>Microsoft Office Word</Application>
  <DocSecurity>0</DocSecurity>
  <Lines>152</Lines>
  <Paragraphs>42</Paragraphs>
  <ScaleCrop>false</ScaleCrop>
  <Company/>
  <LinksUpToDate>false</LinksUpToDate>
  <CharactersWithSpaces>21189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dc:creator>
  <cp:keywords/>
  <dc:description/>
  <cp:lastModifiedBy>Héléne - L'instant Bougies</cp:lastModifiedBy>
  <cp:revision>3</cp:revision>
  <dcterms:created xsi:type="dcterms:W3CDTF">2025-03-20T13:09:00Z</dcterms:created>
  <dcterms:modified xsi:type="dcterms:W3CDTF">2025-03-24T11:37:00Z</dcterms:modified>
</cp:coreProperties>
</file>