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C60750" w14:textId="77777777" w:rsidR="00884C39" w:rsidRDefault="00884C39">
      <w:pPr>
        <w:widowControl w:val="0"/>
        <w:autoSpaceDE w:val="0"/>
        <w:autoSpaceDN w:val="0"/>
        <w:adjustRightInd w:val="0"/>
        <w:spacing w:after="0" w:line="240" w:lineRule="auto"/>
        <w:rPr>
          <w:rFonts w:ascii="Times New Roman" w:hAnsi="Times New Roman" w:cs="Times New Roman"/>
          <w:kern w:val="0"/>
          <w:sz w:val="3"/>
          <w:szCs w:val="3"/>
        </w:rPr>
      </w:pPr>
    </w:p>
    <w:p w14:paraId="2D135EC2" w14:textId="77777777" w:rsidR="00884C39" w:rsidRDefault="00884C39">
      <w:pPr>
        <w:widowControl w:val="0"/>
        <w:tabs>
          <w:tab w:val="right" w:pos="12217"/>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LIBREVISION :</w:t>
      </w:r>
    </w:p>
    <w:p w14:paraId="5B26F205"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01F96D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6EA7498"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B87D7C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56E502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406A87D" w14:textId="77777777" w:rsidR="00884C39" w:rsidRDefault="00884C39">
      <w:pPr>
        <w:widowControl w:val="0"/>
        <w:autoSpaceDE w:val="0"/>
        <w:autoSpaceDN w:val="0"/>
        <w:adjustRightInd w:val="0"/>
        <w:spacing w:after="0" w:line="240" w:lineRule="auto"/>
        <w:rPr>
          <w:rFonts w:ascii="Arial" w:hAnsi="Arial" w:cs="Arial"/>
          <w:color w:val="000000"/>
          <w:kern w:val="0"/>
          <w:sz w:val="9"/>
          <w:szCs w:val="9"/>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1E23B220"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E7A8A97"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A754559"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5FF24B5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D41F511" w14:textId="77777777" w:rsidR="00884C39" w:rsidRDefault="00884C39">
      <w:pPr>
        <w:widowControl w:val="0"/>
        <w:tabs>
          <w:tab w:val="left" w:pos="56"/>
          <w:tab w:val="left" w:pos="1434"/>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Révision : FDS_CLIENT-1-CLP du 26/03/2025</w:t>
      </w:r>
    </w:p>
    <w:p w14:paraId="1663758E" w14:textId="77777777" w:rsidR="00884C39" w:rsidRDefault="00884C3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37"/>
      </w:tblGrid>
      <w:tr w:rsidR="00A300DB" w14:paraId="4E4981AC" w14:textId="77777777">
        <w:trPr>
          <w:trHeight w:hRule="exact" w:val="490"/>
        </w:trPr>
        <w:tc>
          <w:tcPr>
            <w:tcW w:w="9637"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0A17D1D" w14:textId="77777777" w:rsidR="00884C39" w:rsidRDefault="00884C39">
            <w:pPr>
              <w:widowControl w:val="0"/>
              <w:autoSpaceDE w:val="0"/>
              <w:autoSpaceDN w:val="0"/>
              <w:adjustRightInd w:val="0"/>
              <w:spacing w:after="0" w:line="240" w:lineRule="auto"/>
              <w:jc w:val="center"/>
              <w:rPr>
                <w:rFonts w:ascii="Arial" w:hAnsi="Arial" w:cs="Arial"/>
                <w:b/>
                <w:bCs/>
                <w:color w:val="000000"/>
                <w:kern w:val="0"/>
                <w:sz w:val="32"/>
                <w:szCs w:val="32"/>
              </w:rPr>
            </w:pPr>
            <w:r>
              <w:rPr>
                <w:rFonts w:ascii="Arial" w:hAnsi="Arial" w:cs="Arial"/>
                <w:b/>
                <w:bCs/>
                <w:color w:val="000000"/>
                <w:kern w:val="0"/>
                <w:sz w:val="32"/>
                <w:szCs w:val="32"/>
              </w:rPr>
              <w:t>FRAMBOISE LITCHI 7%</w:t>
            </w:r>
          </w:p>
        </w:tc>
      </w:tr>
    </w:tbl>
    <w:p w14:paraId="75008FE7" w14:textId="77777777" w:rsidR="00884C39" w:rsidRDefault="00884C39">
      <w:pPr>
        <w:widowControl w:val="0"/>
        <w:autoSpaceDE w:val="0"/>
        <w:autoSpaceDN w:val="0"/>
        <w:adjustRightInd w:val="0"/>
        <w:spacing w:after="0" w:line="240" w:lineRule="auto"/>
        <w:rPr>
          <w:rFonts w:ascii="Arial" w:hAnsi="Arial" w:cs="Arial"/>
          <w:b/>
          <w:bCs/>
          <w:color w:val="000000"/>
          <w:kern w:val="0"/>
          <w:sz w:val="12"/>
          <w:szCs w:val="12"/>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05989B38"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19D9637"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 IDENTIFICATION DE LA SUBSTANCE/DU MELANGE ET DE LA SOCIETE/L'ENTREPRISE</w:t>
            </w:r>
          </w:p>
        </w:tc>
      </w:tr>
    </w:tbl>
    <w:p w14:paraId="4A8761A6"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6BA00E2"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46AAAFB6" w14:textId="77777777">
        <w:trPr>
          <w:trHeight w:hRule="exact" w:val="334"/>
        </w:trPr>
        <w:tc>
          <w:tcPr>
            <w:tcW w:w="9640" w:type="dxa"/>
            <w:tcBorders>
              <w:top w:val="nil"/>
              <w:left w:val="nil"/>
              <w:bottom w:val="nil"/>
              <w:right w:val="nil"/>
            </w:tcBorders>
            <w:shd w:val="clear" w:color="auto" w:fill="FFFFFF"/>
            <w:vAlign w:val="center"/>
          </w:tcPr>
          <w:p w14:paraId="68C0C74C"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 Identificateur de produit</w:t>
            </w:r>
          </w:p>
        </w:tc>
      </w:tr>
    </w:tbl>
    <w:p w14:paraId="1D23B1A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D6454DF"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D18E819" w14:textId="136188AC" w:rsidR="00884C39" w:rsidRDefault="00884C39">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FRAMBOISE LITCHI 7%</w:t>
      </w:r>
    </w:p>
    <w:p w14:paraId="27EBAE72" w14:textId="5FA4BDC8" w:rsidR="00884C39" w:rsidRDefault="006F5E42" w:rsidP="006F5E42">
      <w:pPr>
        <w:rPr>
          <w:rFonts w:ascii="MS Shell Dlg" w:hAnsi="MS Shell Dlg" w:cs="MS Shell Dlg"/>
          <w:kern w:val="0"/>
          <w:sz w:val="17"/>
          <w:szCs w:val="17"/>
        </w:rPr>
      </w:pPr>
      <w:r w:rsidRPr="00237AC8">
        <w:rPr>
          <w:rFonts w:ascii="Arial" w:hAnsi="Arial" w:cs="Arial"/>
          <w:b/>
          <w:bCs/>
          <w:color w:val="000000" w:themeColor="text1"/>
          <w:sz w:val="20"/>
          <w:szCs w:val="20"/>
        </w:rPr>
        <w:t>UFI : NON</w:t>
      </w:r>
    </w:p>
    <w:p w14:paraId="17901C6A"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7D8CFACF" w14:textId="77777777">
        <w:trPr>
          <w:trHeight w:hRule="exact" w:val="334"/>
        </w:trPr>
        <w:tc>
          <w:tcPr>
            <w:tcW w:w="9640" w:type="dxa"/>
            <w:tcBorders>
              <w:top w:val="nil"/>
              <w:left w:val="nil"/>
              <w:bottom w:val="nil"/>
              <w:right w:val="nil"/>
            </w:tcBorders>
            <w:shd w:val="clear" w:color="auto" w:fill="FFFFFF"/>
            <w:vAlign w:val="center"/>
          </w:tcPr>
          <w:p w14:paraId="0E9ECF8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 Utilisations identifiées pertinentes de la substance ou du mélange et utilisations déconseillées</w:t>
            </w:r>
          </w:p>
        </w:tc>
      </w:tr>
    </w:tbl>
    <w:p w14:paraId="247EC5F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E7C9A60"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0ECCD05" w14:textId="5E6474FD"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r>
        <w:rPr>
          <w:rFonts w:ascii="Times New Roman" w:hAnsi="Times New Roman" w:cs="Times New Roman"/>
          <w:kern w:val="0"/>
        </w:rPr>
        <w:tab/>
      </w:r>
      <w:r>
        <w:rPr>
          <w:rFonts w:ascii="Verdana" w:hAnsi="Verdana" w:cs="Verdana"/>
          <w:kern w:val="0"/>
          <w:sz w:val="17"/>
          <w:szCs w:val="17"/>
        </w:rPr>
        <w:t>Usage</w:t>
      </w:r>
      <w:r>
        <w:rPr>
          <w:rFonts w:ascii="Verdana" w:hAnsi="Verdana" w:cs="Verdana"/>
          <w:color w:val="FFFFFF"/>
          <w:kern w:val="0"/>
          <w:sz w:val="17"/>
          <w:szCs w:val="17"/>
        </w:rPr>
        <w:tab/>
      </w:r>
      <w:r>
        <w:rPr>
          <w:rFonts w:ascii="Verdana" w:hAnsi="Verdana" w:cs="Verdana"/>
          <w:kern w:val="0"/>
          <w:sz w:val="17"/>
          <w:szCs w:val="17"/>
        </w:rPr>
        <w:t xml:space="preserve">:  </w:t>
      </w:r>
      <w:r w:rsidR="00611426">
        <w:rPr>
          <w:rFonts w:ascii="Verdana" w:hAnsi="Verdana" w:cs="Verdana"/>
          <w:kern w:val="0"/>
          <w:sz w:val="17"/>
          <w:szCs w:val="17"/>
        </w:rPr>
        <w:t>Bougie parfumée.</w:t>
      </w:r>
    </w:p>
    <w:p w14:paraId="57820F48"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3912E86"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658BFC2" w14:textId="77777777">
        <w:trPr>
          <w:trHeight w:hRule="exact" w:val="334"/>
        </w:trPr>
        <w:tc>
          <w:tcPr>
            <w:tcW w:w="9640" w:type="dxa"/>
            <w:tcBorders>
              <w:top w:val="nil"/>
              <w:left w:val="nil"/>
              <w:bottom w:val="nil"/>
              <w:right w:val="nil"/>
            </w:tcBorders>
            <w:shd w:val="clear" w:color="auto" w:fill="FFFFFF"/>
            <w:vAlign w:val="center"/>
          </w:tcPr>
          <w:p w14:paraId="63B29DB3"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 Renseignements concernant le fournisseur de la fiche de données de sécurité</w:t>
            </w:r>
          </w:p>
        </w:tc>
      </w:tr>
    </w:tbl>
    <w:p w14:paraId="2BBA5CBB" w14:textId="77777777" w:rsidR="006F5E42" w:rsidRPr="00237AC8" w:rsidRDefault="006F5E42" w:rsidP="006F5E42">
      <w:pPr>
        <w:spacing w:after="0" w:line="240" w:lineRule="auto"/>
        <w:rPr>
          <w:rFonts w:eastAsiaTheme="minorHAnsi"/>
          <w:b/>
          <w:bCs/>
          <w:color w:val="000000" w:themeColor="text1"/>
          <w:szCs w:val="20"/>
          <w:lang w:eastAsia="en-US"/>
        </w:rPr>
      </w:pPr>
      <w:bookmarkStart w:id="0" w:name="_Hlk104301758"/>
      <w:r w:rsidRPr="00237AC8">
        <w:rPr>
          <w:rFonts w:eastAsiaTheme="minorHAnsi"/>
          <w:b/>
          <w:bCs/>
          <w:color w:val="000000" w:themeColor="text1"/>
          <w:szCs w:val="20"/>
          <w:lang w:eastAsia="en-US"/>
        </w:rPr>
        <w:t>Fabricant :</w:t>
      </w:r>
    </w:p>
    <w:p w14:paraId="2784494D" w14:textId="77777777" w:rsidR="006F5E42" w:rsidRPr="00237AC8" w:rsidRDefault="006F5E42" w:rsidP="006F5E42">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[Nom de votre société]</w:t>
      </w:r>
    </w:p>
    <w:p w14:paraId="18FCE0DF" w14:textId="77777777" w:rsidR="006F5E42" w:rsidRPr="00237AC8" w:rsidRDefault="006F5E42" w:rsidP="006F5E42">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[Adresse]</w:t>
      </w:r>
    </w:p>
    <w:p w14:paraId="384B92F2" w14:textId="77777777" w:rsidR="006F5E42" w:rsidRPr="00237AC8" w:rsidRDefault="006F5E42" w:rsidP="006F5E42">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[Pays]</w:t>
      </w:r>
    </w:p>
    <w:p w14:paraId="46510FC7" w14:textId="77777777" w:rsidR="006F5E42" w:rsidRPr="00237AC8" w:rsidRDefault="006F5E42" w:rsidP="006F5E42">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[Téléphone]</w:t>
      </w:r>
    </w:p>
    <w:p w14:paraId="2ED7122C" w14:textId="77777777" w:rsidR="006F5E42" w:rsidRPr="00237AC8" w:rsidRDefault="006F5E42" w:rsidP="006F5E42">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[Mail]</w:t>
      </w:r>
    </w:p>
    <w:bookmarkEnd w:id="0"/>
    <w:p w14:paraId="3293BDFB"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43BDED10" w14:textId="77777777">
        <w:trPr>
          <w:trHeight w:hRule="exact" w:val="334"/>
        </w:trPr>
        <w:tc>
          <w:tcPr>
            <w:tcW w:w="9640" w:type="dxa"/>
            <w:tcBorders>
              <w:top w:val="nil"/>
              <w:left w:val="nil"/>
              <w:bottom w:val="nil"/>
              <w:right w:val="nil"/>
            </w:tcBorders>
            <w:shd w:val="clear" w:color="auto" w:fill="FFFFFF"/>
            <w:vAlign w:val="center"/>
          </w:tcPr>
          <w:p w14:paraId="68EC13BB"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 Numéro d'appel d'urgence</w:t>
            </w:r>
          </w:p>
        </w:tc>
      </w:tr>
    </w:tbl>
    <w:p w14:paraId="683C498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BDD2A76"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1EB2E515"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 xml:space="preserve">Téléphone en cas d’urgence (à utiliser par le médecin traitant) : </w:t>
      </w:r>
    </w:p>
    <w:p w14:paraId="500B25FA"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 xml:space="preserve">France : </w:t>
      </w:r>
    </w:p>
    <w:p w14:paraId="56BCCF5F"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 de Nancy : + 33 (0)3 83 85 21 92</w:t>
      </w:r>
    </w:p>
    <w:p w14:paraId="246C4A67"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Belgique :</w:t>
      </w:r>
    </w:p>
    <w:p w14:paraId="696F118E"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+ 320 22 64 96 36</w:t>
      </w:r>
    </w:p>
    <w:p w14:paraId="65016101"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Luxembourg :</w:t>
      </w:r>
    </w:p>
    <w:p w14:paraId="00F35D33"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+ 352 24 78 55 51</w:t>
      </w:r>
    </w:p>
    <w:p w14:paraId="134B2E58" w14:textId="77777777" w:rsidR="00884C39" w:rsidRDefault="00884C39">
      <w:pPr>
        <w:widowControl w:val="0"/>
        <w:autoSpaceDE w:val="0"/>
        <w:autoSpaceDN w:val="0"/>
        <w:adjustRightInd w:val="0"/>
        <w:spacing w:after="0" w:line="240" w:lineRule="auto"/>
        <w:rPr>
          <w:rFonts w:ascii="Verdana" w:hAnsi="Verdana" w:cs="Verdana"/>
          <w:color w:val="FFFFFF"/>
          <w:kern w:val="0"/>
          <w:sz w:val="17"/>
          <w:szCs w:val="17"/>
        </w:rPr>
      </w:pPr>
    </w:p>
    <w:p w14:paraId="463D9E04"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7509A8E5"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4E3DFB3"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2: IDENTIFICATION DES DANGERS</w:t>
            </w:r>
          </w:p>
        </w:tc>
      </w:tr>
    </w:tbl>
    <w:p w14:paraId="0EA1555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E54106C"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3976183" w14:textId="77777777">
        <w:trPr>
          <w:trHeight w:hRule="exact" w:val="334"/>
        </w:trPr>
        <w:tc>
          <w:tcPr>
            <w:tcW w:w="9640" w:type="dxa"/>
            <w:tcBorders>
              <w:top w:val="nil"/>
              <w:left w:val="nil"/>
              <w:bottom w:val="nil"/>
              <w:right w:val="nil"/>
            </w:tcBorders>
            <w:shd w:val="clear" w:color="auto" w:fill="FFFFFF"/>
            <w:vAlign w:val="center"/>
          </w:tcPr>
          <w:p w14:paraId="5A06D7F3"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2.1. Classification de la substance ou du mélange</w:t>
            </w:r>
          </w:p>
        </w:tc>
      </w:tr>
    </w:tbl>
    <w:p w14:paraId="7184CF6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F169DEF"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1B58DBF"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5D0BD3DE" w14:textId="77777777" w:rsidR="00884C39" w:rsidRDefault="00884C39">
      <w:pPr>
        <w:widowControl w:val="0"/>
        <w:autoSpaceDE w:val="0"/>
        <w:autoSpaceDN w:val="0"/>
        <w:adjustRightInd w:val="0"/>
        <w:spacing w:after="0" w:line="240" w:lineRule="auto"/>
        <w:rPr>
          <w:rFonts w:ascii="Arial" w:hAnsi="Arial" w:cs="Arial"/>
          <w:color w:val="000000"/>
          <w:kern w:val="0"/>
          <w:sz w:val="8"/>
          <w:szCs w:val="8"/>
          <w:u w:val="single"/>
        </w:rPr>
      </w:pPr>
    </w:p>
    <w:p w14:paraId="29CBD2AD"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0B5E0753"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14BB1C7"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FEFE2BB"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70D9E5B0"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EUH210 - Fiche de données de sécurité disponible sur demande.</w:t>
      </w:r>
    </w:p>
    <w:p w14:paraId="724D9542"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07E595F2" w14:textId="77777777">
        <w:trPr>
          <w:trHeight w:hRule="exact" w:val="334"/>
        </w:trPr>
        <w:tc>
          <w:tcPr>
            <w:tcW w:w="9640" w:type="dxa"/>
            <w:tcBorders>
              <w:top w:val="nil"/>
              <w:left w:val="nil"/>
              <w:bottom w:val="nil"/>
              <w:right w:val="nil"/>
            </w:tcBorders>
            <w:shd w:val="clear" w:color="auto" w:fill="FFFFFF"/>
            <w:vAlign w:val="center"/>
          </w:tcPr>
          <w:p w14:paraId="2563FCCA"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2.2. Éléments d'étiquetage</w:t>
            </w:r>
          </w:p>
        </w:tc>
      </w:tr>
    </w:tbl>
    <w:p w14:paraId="0DB6201C"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EFA98A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EC0222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BEA1A6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F051B58"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1F6E518"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7BFB9A9" w14:textId="77777777" w:rsidR="00884C39" w:rsidRDefault="00884C39">
      <w:pPr>
        <w:widowControl w:val="0"/>
        <w:autoSpaceDE w:val="0"/>
        <w:autoSpaceDN w:val="0"/>
        <w:adjustRightInd w:val="0"/>
        <w:spacing w:after="0" w:line="240" w:lineRule="auto"/>
        <w:rPr>
          <w:rFonts w:ascii="Arial" w:hAnsi="Arial" w:cs="Arial"/>
          <w:color w:val="000000"/>
          <w:kern w:val="0"/>
          <w:sz w:val="9"/>
          <w:szCs w:val="9"/>
        </w:rPr>
      </w:pPr>
    </w:p>
    <w:p w14:paraId="71427078"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1/10</w:t>
      </w:r>
    </w:p>
    <w:p w14:paraId="1CE190E6"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14809136"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34F8D4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DEC7DCB"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4A29EC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DB1FD73"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2B7BB9B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05517B8"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4491AE4D"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23D8989D"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763944E"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523D42EF" w14:textId="77777777" w:rsidR="00884C39" w:rsidRDefault="00884C39">
      <w:pPr>
        <w:widowControl w:val="0"/>
        <w:autoSpaceDE w:val="0"/>
        <w:autoSpaceDN w:val="0"/>
        <w:adjustRightInd w:val="0"/>
        <w:spacing w:after="0" w:line="240" w:lineRule="auto"/>
        <w:rPr>
          <w:rFonts w:ascii="Arial" w:hAnsi="Arial" w:cs="Arial"/>
          <w:color w:val="000000"/>
          <w:kern w:val="0"/>
          <w:sz w:val="16"/>
          <w:szCs w:val="16"/>
        </w:rPr>
      </w:pPr>
    </w:p>
    <w:p w14:paraId="133DB96C"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41FF1B9B" w14:textId="77777777" w:rsidR="00884C39" w:rsidRDefault="00884C39">
      <w:pPr>
        <w:widowControl w:val="0"/>
        <w:autoSpaceDE w:val="0"/>
        <w:autoSpaceDN w:val="0"/>
        <w:adjustRightInd w:val="0"/>
        <w:spacing w:after="0" w:line="240" w:lineRule="auto"/>
        <w:rPr>
          <w:rFonts w:ascii="Arial" w:hAnsi="Arial" w:cs="Arial"/>
          <w:color w:val="000000"/>
          <w:kern w:val="0"/>
          <w:sz w:val="8"/>
          <w:szCs w:val="8"/>
          <w:u w:val="single"/>
        </w:rPr>
      </w:pPr>
    </w:p>
    <w:p w14:paraId="72D2EC10"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20B70B17"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29312CC6"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E119141" w14:textId="5AAA646B" w:rsidR="00884C39" w:rsidRDefault="00884C39">
      <w:pPr>
        <w:widowControl w:val="0"/>
        <w:autoSpaceDE w:val="0"/>
        <w:autoSpaceDN w:val="0"/>
        <w:adjustRightInd w:val="0"/>
        <w:spacing w:after="0" w:line="240" w:lineRule="auto"/>
        <w:rPr>
          <w:rFonts w:ascii="Tahoma" w:hAnsi="Tahoma" w:cs="Tahoma"/>
          <w:kern w:val="0"/>
          <w:sz w:val="18"/>
          <w:szCs w:val="18"/>
        </w:rPr>
      </w:pPr>
      <w:r>
        <w:rPr>
          <w:rFonts w:ascii="Times New Roman" w:hAnsi="Times New Roman" w:cs="Times New Roman"/>
          <w:kern w:val="0"/>
        </w:rPr>
        <w:tab/>
      </w:r>
      <w:r>
        <w:rPr>
          <w:rFonts w:ascii="Tahoma" w:hAnsi="Tahoma" w:cs="Tahoma"/>
          <w:kern w:val="0"/>
          <w:sz w:val="18"/>
          <w:szCs w:val="18"/>
        </w:rPr>
        <w:t>EUH210 - Fiche de données de sécurité disponible sur demande.</w:t>
      </w:r>
    </w:p>
    <w:p w14:paraId="42FE40B5"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2F052E48"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015387BB" w14:textId="77777777">
        <w:trPr>
          <w:trHeight w:hRule="exact" w:val="334"/>
        </w:trPr>
        <w:tc>
          <w:tcPr>
            <w:tcW w:w="9640" w:type="dxa"/>
            <w:tcBorders>
              <w:top w:val="nil"/>
              <w:left w:val="nil"/>
              <w:bottom w:val="nil"/>
              <w:right w:val="nil"/>
            </w:tcBorders>
            <w:shd w:val="clear" w:color="auto" w:fill="FFFFFF"/>
            <w:vAlign w:val="center"/>
          </w:tcPr>
          <w:p w14:paraId="74CD416A"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2.3. Autres dangers</w:t>
            </w:r>
          </w:p>
        </w:tc>
      </w:tr>
    </w:tbl>
    <w:p w14:paraId="7C8ACD1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3EB32D0"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1094F2C" w14:textId="77777777" w:rsidR="00884C39" w:rsidRDefault="00884C39">
      <w:pPr>
        <w:widowControl w:val="0"/>
        <w:autoSpaceDE w:val="0"/>
        <w:autoSpaceDN w:val="0"/>
        <w:adjustRightInd w:val="0"/>
        <w:spacing w:after="0" w:line="240" w:lineRule="auto"/>
        <w:rPr>
          <w:rFonts w:ascii="Arial" w:hAnsi="Arial" w:cs="Arial"/>
          <w:color w:val="000000"/>
          <w:kern w:val="0"/>
          <w:sz w:val="6"/>
          <w:szCs w:val="6"/>
        </w:rPr>
      </w:pPr>
    </w:p>
    <w:p w14:paraId="7D2F1D54" w14:textId="77777777" w:rsidR="00884C39" w:rsidRDefault="00884C39">
      <w:pPr>
        <w:widowControl w:val="0"/>
        <w:autoSpaceDE w:val="0"/>
        <w:autoSpaceDN w:val="0"/>
        <w:adjustRightInd w:val="0"/>
        <w:spacing w:after="0" w:line="240" w:lineRule="auto"/>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 xml:space="preserve">Ne contient aucun composant listé </w:t>
      </w:r>
    </w:p>
    <w:p w14:paraId="13851143" w14:textId="77777777" w:rsidR="00884C39" w:rsidRDefault="00884C39">
      <w:pPr>
        <w:widowControl w:val="0"/>
        <w:autoSpaceDE w:val="0"/>
        <w:autoSpaceDN w:val="0"/>
        <w:adjustRightInd w:val="0"/>
        <w:spacing w:after="0" w:line="240" w:lineRule="auto"/>
        <w:rPr>
          <w:rFonts w:ascii="Verdana" w:hAnsi="Verdana" w:cs="Verdana"/>
          <w:color w:val="FFFFFF"/>
          <w:kern w:val="0"/>
          <w:sz w:val="16"/>
          <w:szCs w:val="16"/>
        </w:rPr>
      </w:pPr>
    </w:p>
    <w:p w14:paraId="72F3E09F" w14:textId="77777777" w:rsidR="00884C39" w:rsidRDefault="00884C39">
      <w:pPr>
        <w:widowControl w:val="0"/>
        <w:autoSpaceDE w:val="0"/>
        <w:autoSpaceDN w:val="0"/>
        <w:adjustRightInd w:val="0"/>
        <w:spacing w:after="0" w:line="240" w:lineRule="auto"/>
        <w:rPr>
          <w:rFonts w:ascii="Verdana" w:hAnsi="Verdana" w:cs="Verdana"/>
          <w:color w:val="FFFFFF"/>
          <w:kern w:val="0"/>
          <w:sz w:val="16"/>
          <w:szCs w:val="16"/>
        </w:rPr>
      </w:pPr>
      <w:r>
        <w:rPr>
          <w:rFonts w:ascii="Verdana" w:hAnsi="Verdana" w:cs="Verdana"/>
          <w:kern w:val="0"/>
          <w:sz w:val="16"/>
          <w:szCs w:val="16"/>
        </w:rPr>
        <w:t xml:space="preserve">Non applicable </w:t>
      </w:r>
    </w:p>
    <w:p w14:paraId="10FD3730"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3A223DD9"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D3AF6F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3: COMPOSITION/INFORMATIONS SUR LES COMPOSANTS</w:t>
            </w:r>
          </w:p>
        </w:tc>
      </w:tr>
    </w:tbl>
    <w:p w14:paraId="4EAB83E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4F0E9A0"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1F6197D3" w14:textId="77777777">
        <w:trPr>
          <w:trHeight w:hRule="exact" w:val="334"/>
        </w:trPr>
        <w:tc>
          <w:tcPr>
            <w:tcW w:w="9640" w:type="dxa"/>
            <w:tcBorders>
              <w:top w:val="nil"/>
              <w:left w:val="nil"/>
              <w:bottom w:val="nil"/>
              <w:right w:val="nil"/>
            </w:tcBorders>
            <w:shd w:val="clear" w:color="auto" w:fill="FFFFFF"/>
            <w:vAlign w:val="center"/>
          </w:tcPr>
          <w:p w14:paraId="493F6063"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3.1. Substances</w:t>
            </w:r>
          </w:p>
        </w:tc>
      </w:tr>
    </w:tbl>
    <w:p w14:paraId="7E0A35AB"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8B9CDEA"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B1D8052" w14:textId="77777777" w:rsidR="00884C39" w:rsidRDefault="00884C39">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Produit non concerné par la liste de composants.</w:t>
      </w:r>
    </w:p>
    <w:p w14:paraId="75D09C5B"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5F0B55B4"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50E3C3F7" w14:textId="77777777" w:rsidR="00884C39" w:rsidRDefault="00884C39">
      <w:pPr>
        <w:widowControl w:val="0"/>
        <w:autoSpaceDE w:val="0"/>
        <w:autoSpaceDN w:val="0"/>
        <w:adjustRightInd w:val="0"/>
        <w:spacing w:after="0" w:line="240" w:lineRule="auto"/>
        <w:rPr>
          <w:rFonts w:ascii="Times New Roman" w:hAnsi="Times New Roman" w:cs="Times New Roman"/>
          <w:kern w:val="0"/>
          <w:sz w:val="8"/>
          <w:szCs w:val="8"/>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09747B3E" w14:textId="77777777">
        <w:trPr>
          <w:trHeight w:hRule="exact" w:val="334"/>
        </w:trPr>
        <w:tc>
          <w:tcPr>
            <w:tcW w:w="9640" w:type="dxa"/>
            <w:tcBorders>
              <w:top w:val="nil"/>
              <w:left w:val="nil"/>
              <w:bottom w:val="nil"/>
              <w:right w:val="nil"/>
            </w:tcBorders>
            <w:shd w:val="clear" w:color="auto" w:fill="FFFFFF"/>
            <w:vAlign w:val="center"/>
          </w:tcPr>
          <w:p w14:paraId="4CE1B1F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3.2. Mélanges</w:t>
            </w:r>
          </w:p>
        </w:tc>
      </w:tr>
    </w:tbl>
    <w:p w14:paraId="54A8A355"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48EDB5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78205FA" w14:textId="77777777" w:rsidR="00884C39" w:rsidRDefault="00884C39">
      <w:pPr>
        <w:widowControl w:val="0"/>
        <w:autoSpaceDE w:val="0"/>
        <w:autoSpaceDN w:val="0"/>
        <w:adjustRightInd w:val="0"/>
        <w:spacing w:after="0" w:line="240" w:lineRule="auto"/>
        <w:rPr>
          <w:rFonts w:ascii="Arial" w:hAnsi="Arial" w:cs="Arial"/>
          <w:color w:val="000000"/>
          <w:kern w:val="0"/>
          <w:sz w:val="6"/>
          <w:szCs w:val="6"/>
        </w:rPr>
      </w:pPr>
    </w:p>
    <w:p w14:paraId="322C3272" w14:textId="77777777" w:rsidR="00884C39" w:rsidRDefault="00884C39">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 xml:space="preserve"> Composition : Mélange de matiéres premières aromatiques.</w:t>
      </w:r>
    </w:p>
    <w:p w14:paraId="64980518"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58671952"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7086713"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4: PREMIERS SECOURS</w:t>
            </w:r>
          </w:p>
        </w:tc>
      </w:tr>
    </w:tbl>
    <w:p w14:paraId="06433B5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C47C581"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2929660C" w14:textId="77777777">
        <w:trPr>
          <w:trHeight w:hRule="exact" w:val="334"/>
        </w:trPr>
        <w:tc>
          <w:tcPr>
            <w:tcW w:w="9640" w:type="dxa"/>
            <w:tcBorders>
              <w:top w:val="nil"/>
              <w:left w:val="nil"/>
              <w:bottom w:val="nil"/>
              <w:right w:val="nil"/>
            </w:tcBorders>
            <w:shd w:val="clear" w:color="auto" w:fill="FFFFFF"/>
            <w:vAlign w:val="center"/>
          </w:tcPr>
          <w:p w14:paraId="4870C459"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4.1. Description des mesures de premiers secours</w:t>
            </w:r>
          </w:p>
        </w:tc>
      </w:tr>
    </w:tbl>
    <w:p w14:paraId="343C9A6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3FD06B1"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CF6658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4.1.1. Informations générales:</w:t>
      </w:r>
    </w:p>
    <w:p w14:paraId="43A1D2D8"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Retirer immédiatement les vêtements contaminés. En cas d'accident ou de malaise, consulter immédiatement un médecin (si possible lui montrer les instructions d'emploi ou la fiche de données de sécurité).</w:t>
      </w:r>
    </w:p>
    <w:p w14:paraId="32228A6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4.1.2. Après inhalation:</w:t>
      </w:r>
    </w:p>
    <w:p w14:paraId="7224546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Transporter la victime hors de la zone contaminée et la garder au repos.</w:t>
      </w:r>
    </w:p>
    <w:p w14:paraId="76C6DC1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4.1.3. Après contact avec la peau:</w:t>
      </w:r>
    </w:p>
    <w:p w14:paraId="45F6551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Laver immédiatement à l'eau et au savon. En cas d'irritation de la peau, consulter un médecin.</w:t>
      </w:r>
    </w:p>
    <w:p w14:paraId="162C35F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4.1.4. Après contact avec les yeux:</w:t>
      </w:r>
    </w:p>
    <w:p w14:paraId="39201FC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Après contact avec les yeux, laver à l'eau en maintenant les paupières ouvertes pour une durée suffisamment longue, puis consulter immédiatement un ophtalmologiste.</w:t>
      </w:r>
    </w:p>
    <w:p w14:paraId="2070BCB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4.1.5. Après ingestion:</w:t>
      </w:r>
    </w:p>
    <w:p w14:paraId="20055A28"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En cas d'ingestion accidentelle, rincer abondamment la bouche avec de l'eau (seulement si la personne est consciente) et consulter immédiatement un médecin.</w:t>
      </w:r>
    </w:p>
    <w:p w14:paraId="08606C8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4.1.6. Autoprotection du secouriste:</w:t>
      </w:r>
    </w:p>
    <w:p w14:paraId="763123A7"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Secouriste: faire attention à se protéger!</w:t>
      </w:r>
    </w:p>
    <w:p w14:paraId="5631B3FB"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4BD276D4"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64258A44"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2E124E41" w14:textId="77777777">
        <w:trPr>
          <w:trHeight w:hRule="exact" w:val="334"/>
        </w:trPr>
        <w:tc>
          <w:tcPr>
            <w:tcW w:w="9640" w:type="dxa"/>
            <w:tcBorders>
              <w:top w:val="nil"/>
              <w:left w:val="nil"/>
              <w:bottom w:val="nil"/>
              <w:right w:val="nil"/>
            </w:tcBorders>
            <w:shd w:val="clear" w:color="auto" w:fill="FFFFFF"/>
            <w:vAlign w:val="center"/>
          </w:tcPr>
          <w:p w14:paraId="0F36381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4.2. Principaux symptômes et effets, aigus et différés</w:t>
            </w:r>
          </w:p>
        </w:tc>
      </w:tr>
    </w:tbl>
    <w:p w14:paraId="0F50D82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B81F18B"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31C2801"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Tenir compte des phrases de risques et de sécurité.</w:t>
      </w:r>
    </w:p>
    <w:p w14:paraId="5A378547"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1F00E99C"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1D769DC4"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6A8F174B"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E7D8B74"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15B8BDB" w14:textId="77777777" w:rsidR="00884C39" w:rsidRDefault="00884C39">
      <w:pPr>
        <w:widowControl w:val="0"/>
        <w:autoSpaceDE w:val="0"/>
        <w:autoSpaceDN w:val="0"/>
        <w:adjustRightInd w:val="0"/>
        <w:spacing w:after="0" w:line="240" w:lineRule="auto"/>
        <w:rPr>
          <w:rFonts w:ascii="Times New Roman" w:hAnsi="Times New Roman" w:cs="Times New Roman"/>
          <w:kern w:val="0"/>
          <w:sz w:val="7"/>
          <w:szCs w:val="7"/>
        </w:rPr>
      </w:pPr>
    </w:p>
    <w:p w14:paraId="3010F234"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2/10</w:t>
      </w:r>
    </w:p>
    <w:p w14:paraId="15287DB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4D6BF67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1DB03AB"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A287D68"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E5FC0CB"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A74068F"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258A0E3A"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02C7B7B"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3C509A2B"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7B3727F4"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E04AEA9"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64AD35F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3FC9494"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157DD14E" w14:textId="77777777">
        <w:trPr>
          <w:trHeight w:hRule="exact" w:val="334"/>
        </w:trPr>
        <w:tc>
          <w:tcPr>
            <w:tcW w:w="9640" w:type="dxa"/>
            <w:tcBorders>
              <w:top w:val="nil"/>
              <w:left w:val="nil"/>
              <w:bottom w:val="nil"/>
              <w:right w:val="nil"/>
            </w:tcBorders>
            <w:shd w:val="clear" w:color="auto" w:fill="FFFFFF"/>
            <w:vAlign w:val="center"/>
          </w:tcPr>
          <w:p w14:paraId="6BDCED05"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4.3. Indication des éventuels soins médicaux immédiats et traitements particuliers nécessaires</w:t>
            </w:r>
          </w:p>
        </w:tc>
      </w:tr>
    </w:tbl>
    <w:p w14:paraId="16D353D0"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4430810"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5A991BD0"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Traitement spécifique: premier secours, traitement des symptômes.</w:t>
      </w:r>
    </w:p>
    <w:p w14:paraId="3ECCD7C6"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Commentaires pour le médecin: traiter symptômatiquement.</w:t>
      </w:r>
    </w:p>
    <w:p w14:paraId="537E9F45"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3BB0F9D3"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61A90364"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F6CF2B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5: MESURES DE LUTTE CONTRE L'INCENDIE</w:t>
            </w:r>
          </w:p>
        </w:tc>
      </w:tr>
    </w:tbl>
    <w:p w14:paraId="2BF3FF2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A903D41"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936A61A" w14:textId="77777777">
        <w:trPr>
          <w:trHeight w:hRule="exact" w:val="334"/>
        </w:trPr>
        <w:tc>
          <w:tcPr>
            <w:tcW w:w="9640" w:type="dxa"/>
            <w:tcBorders>
              <w:top w:val="nil"/>
              <w:left w:val="nil"/>
              <w:bottom w:val="nil"/>
              <w:right w:val="nil"/>
            </w:tcBorders>
            <w:shd w:val="clear" w:color="auto" w:fill="FFFFFF"/>
            <w:vAlign w:val="center"/>
          </w:tcPr>
          <w:p w14:paraId="1A8AC86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5.1. Moyens d’extinction</w:t>
            </w:r>
          </w:p>
        </w:tc>
      </w:tr>
    </w:tbl>
    <w:p w14:paraId="208F245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E72D35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6234685" w14:textId="77777777" w:rsidR="00884C39" w:rsidRDefault="00884C39">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Moyens d'extinction appropriés: dioxyde de carbone (CO2), mousse, eau pulvérisée, poudre d'extinction sèche.</w:t>
      </w:r>
    </w:p>
    <w:p w14:paraId="1255047B" w14:textId="77777777" w:rsidR="00884C39" w:rsidRDefault="00884C39">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Méthodes d'extinction inappropriées: jet d'eau puissant.</w:t>
      </w:r>
    </w:p>
    <w:p w14:paraId="6299A3F2" w14:textId="77777777" w:rsidR="00884C39" w:rsidRDefault="00884C39">
      <w:pPr>
        <w:widowControl w:val="0"/>
        <w:tabs>
          <w:tab w:val="left" w:pos="709"/>
        </w:tabs>
        <w:autoSpaceDE w:val="0"/>
        <w:autoSpaceDN w:val="0"/>
        <w:adjustRightInd w:val="0"/>
        <w:spacing w:after="0" w:line="240" w:lineRule="auto"/>
        <w:jc w:val="both"/>
        <w:rPr>
          <w:rFonts w:ascii="Arial" w:hAnsi="Arial" w:cs="Arial"/>
          <w:color w:val="FFFFFF"/>
          <w:kern w:val="0"/>
          <w:sz w:val="18"/>
          <w:szCs w:val="18"/>
        </w:rPr>
      </w:pPr>
    </w:p>
    <w:p w14:paraId="3C7AD3F3"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605D3110" w14:textId="77777777">
        <w:trPr>
          <w:trHeight w:hRule="exact" w:val="334"/>
        </w:trPr>
        <w:tc>
          <w:tcPr>
            <w:tcW w:w="9640" w:type="dxa"/>
            <w:tcBorders>
              <w:top w:val="nil"/>
              <w:left w:val="nil"/>
              <w:bottom w:val="nil"/>
              <w:right w:val="nil"/>
            </w:tcBorders>
            <w:shd w:val="clear" w:color="auto" w:fill="FFFFFF"/>
            <w:vAlign w:val="center"/>
          </w:tcPr>
          <w:p w14:paraId="4F21D7B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5.2. Dangers particuliers résultant de la substance ou du mélange</w:t>
            </w:r>
          </w:p>
        </w:tc>
      </w:tr>
    </w:tbl>
    <w:p w14:paraId="72302BB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D0B1EA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EA46FB1"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Classe d'inflammabilité : le produit n'est pas inflammable.</w:t>
      </w:r>
    </w:p>
    <w:p w14:paraId="355DD6E2"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Refroidir à l'eau pulvérisée les récipients menacés. En cas d'incendie, des gaz nocifs peuvent se former. Ne pas les inhaler.</w:t>
      </w:r>
    </w:p>
    <w:p w14:paraId="6C09600F"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Prévention : ne pas fumer. Pas de flamme nue.</w:t>
      </w:r>
    </w:p>
    <w:p w14:paraId="3EB715FC"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Produits de combustion dangereux: les produits de décomposition peuvent éventuellement comprendre les substances suivantes: </w:t>
      </w:r>
    </w:p>
    <w:p w14:paraId="10D34C2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 dioxyde de carbone                                                                                                             </w:t>
      </w:r>
    </w:p>
    <w:p w14:paraId="151E15D8"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monoxyde de carbone.</w:t>
      </w:r>
    </w:p>
    <w:p w14:paraId="3E38BB7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L'eau d'extinction contaminée doit être collectée à part. Ne pas jeter dans les égouts ou les eaux de surface.</w:t>
      </w:r>
    </w:p>
    <w:p w14:paraId="217D70D8"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645EDE6A"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26878172"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6B492260" w14:textId="77777777">
        <w:trPr>
          <w:trHeight w:hRule="exact" w:val="334"/>
        </w:trPr>
        <w:tc>
          <w:tcPr>
            <w:tcW w:w="9640" w:type="dxa"/>
            <w:tcBorders>
              <w:top w:val="nil"/>
              <w:left w:val="nil"/>
              <w:bottom w:val="nil"/>
              <w:right w:val="nil"/>
            </w:tcBorders>
            <w:shd w:val="clear" w:color="auto" w:fill="FFFFFF"/>
            <w:vAlign w:val="center"/>
          </w:tcPr>
          <w:p w14:paraId="377DAC5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5.3. Conseils aux pompiers</w:t>
            </w:r>
          </w:p>
        </w:tc>
      </w:tr>
    </w:tbl>
    <w:p w14:paraId="6FB8B37C"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BCA8A92"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432B385"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Équipement spécial de protection pour les pompiers: porter un appareil respiratoire autonome et des vêtements de protection contre les produits chimiques.</w:t>
      </w:r>
    </w:p>
    <w:p w14:paraId="681DBCCC"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57E0C2E3"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1E88C5B5"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4A16411"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6: MESURES A PRENDRE EN CAS DE DISPERSION ACCIDENTELLE</w:t>
            </w:r>
          </w:p>
        </w:tc>
      </w:tr>
    </w:tbl>
    <w:p w14:paraId="001568F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06814F5"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3D4F132A" w14:textId="77777777">
        <w:trPr>
          <w:trHeight w:hRule="exact" w:val="334"/>
        </w:trPr>
        <w:tc>
          <w:tcPr>
            <w:tcW w:w="9640" w:type="dxa"/>
            <w:tcBorders>
              <w:top w:val="nil"/>
              <w:left w:val="nil"/>
              <w:bottom w:val="nil"/>
              <w:right w:val="nil"/>
            </w:tcBorders>
            <w:shd w:val="clear" w:color="auto" w:fill="FFFFFF"/>
            <w:vAlign w:val="center"/>
          </w:tcPr>
          <w:p w14:paraId="43F8DD50"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6.1. Précautions individuelles, équipement de protection et procédures d’urgence</w:t>
            </w:r>
          </w:p>
        </w:tc>
      </w:tr>
    </w:tbl>
    <w:p w14:paraId="1D9F089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918D2D4"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85D10A4"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6.1.1. Pour les non-secouristes:</w:t>
      </w:r>
    </w:p>
    <w:p w14:paraId="355446B6"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 équipement de protection individuel, voir rubrique 8.</w:t>
      </w:r>
    </w:p>
    <w:p w14:paraId="7D297381"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6.1.2. Pour les intervenants d'urgence:</w:t>
      </w:r>
    </w:p>
    <w:p w14:paraId="3A410F54"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Mettre les personnes en sécurité. Isoler la zone de danger et empêcher l'accès. Aérer les espaces fermés avant d'entrer. Utiliser un équipement de protection individuel, voir section 8.</w:t>
      </w:r>
    </w:p>
    <w:p w14:paraId="6CF5DFE8"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2F9BB1AE"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02FC375B"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7385D604" w14:textId="77777777">
        <w:trPr>
          <w:trHeight w:hRule="exact" w:val="334"/>
        </w:trPr>
        <w:tc>
          <w:tcPr>
            <w:tcW w:w="9640" w:type="dxa"/>
            <w:tcBorders>
              <w:top w:val="nil"/>
              <w:left w:val="nil"/>
              <w:bottom w:val="nil"/>
              <w:right w:val="nil"/>
            </w:tcBorders>
            <w:shd w:val="clear" w:color="auto" w:fill="FFFFFF"/>
            <w:vAlign w:val="center"/>
          </w:tcPr>
          <w:p w14:paraId="20E45B0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6.2. Précautions pour la protection de l’environnement</w:t>
            </w:r>
          </w:p>
        </w:tc>
      </w:tr>
    </w:tbl>
    <w:p w14:paraId="7070558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08F1D67"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2D67B2CA"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Assurez-vous que les déversements peuvent être contenus, par exemple dans des puisards palette ou des zones de rétention. Ne pas laisser pénétrer dans les eaux de surface ou les égouts.</w:t>
      </w:r>
    </w:p>
    <w:p w14:paraId="7E42B5F6" w14:textId="77777777" w:rsidR="00884C39" w:rsidRDefault="00884C39">
      <w:pPr>
        <w:widowControl w:val="0"/>
        <w:autoSpaceDE w:val="0"/>
        <w:autoSpaceDN w:val="0"/>
        <w:adjustRightInd w:val="0"/>
        <w:spacing w:after="0" w:line="240" w:lineRule="auto"/>
        <w:jc w:val="both"/>
        <w:rPr>
          <w:rFonts w:ascii="Arial" w:hAnsi="Arial" w:cs="Arial"/>
          <w:color w:val="FFFFFF"/>
          <w:kern w:val="0"/>
          <w:sz w:val="18"/>
          <w:szCs w:val="18"/>
        </w:rPr>
      </w:pPr>
    </w:p>
    <w:p w14:paraId="31110D79"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F574005" w14:textId="77777777">
        <w:trPr>
          <w:trHeight w:hRule="exact" w:val="334"/>
        </w:trPr>
        <w:tc>
          <w:tcPr>
            <w:tcW w:w="9640" w:type="dxa"/>
            <w:tcBorders>
              <w:top w:val="nil"/>
              <w:left w:val="nil"/>
              <w:bottom w:val="nil"/>
              <w:right w:val="nil"/>
            </w:tcBorders>
            <w:shd w:val="clear" w:color="auto" w:fill="FFFFFF"/>
            <w:vAlign w:val="center"/>
          </w:tcPr>
          <w:p w14:paraId="763EB94A"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6.3. Méthodes et matériel de confinement et de nettoyage</w:t>
            </w:r>
          </w:p>
        </w:tc>
      </w:tr>
    </w:tbl>
    <w:p w14:paraId="313FEEA3"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CB2AF7D"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E034B2A" w14:textId="49F8A423"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Arial" w:hAnsi="Arial" w:cs="Arial"/>
          <w:color w:val="000000"/>
          <w:kern w:val="0"/>
          <w:sz w:val="16"/>
          <w:szCs w:val="16"/>
        </w:rPr>
        <w:t>Enlever avec un absorbant inerte (par exemple sable, gel de silice, agglomérant pour acide, agglomérant u</w:t>
      </w:r>
      <w:r w:rsidR="00611426">
        <w:rPr>
          <w:rFonts w:ascii="Arial" w:hAnsi="Arial" w:cs="Arial"/>
          <w:color w:val="000000"/>
          <w:kern w:val="0"/>
          <w:sz w:val="16"/>
          <w:szCs w:val="16"/>
        </w:rPr>
        <w:t>niversel, sciure).</w:t>
      </w:r>
    </w:p>
    <w:p w14:paraId="0F6774BC"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776A2A3A" w14:textId="77777777" w:rsidR="00884C39" w:rsidRDefault="00884C39">
      <w:pPr>
        <w:widowControl w:val="0"/>
        <w:autoSpaceDE w:val="0"/>
        <w:autoSpaceDN w:val="0"/>
        <w:adjustRightInd w:val="0"/>
        <w:spacing w:after="0" w:line="240" w:lineRule="auto"/>
        <w:rPr>
          <w:rFonts w:ascii="Times New Roman" w:hAnsi="Times New Roman" w:cs="Times New Roman"/>
          <w:kern w:val="0"/>
          <w:sz w:val="2"/>
          <w:szCs w:val="2"/>
        </w:rPr>
      </w:pPr>
    </w:p>
    <w:p w14:paraId="3EE2D8C0"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3/10</w:t>
      </w:r>
    </w:p>
    <w:p w14:paraId="1FA203F6"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57EAF6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81C2E15"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C20946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8EAE74C"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6B8364F"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1FF8BC04"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4085D87"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451B33B"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6D55A6BD"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9EA855E"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050B1F6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16C13586" w14:textId="6E2D0372"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p>
    <w:p w14:paraId="0D2F0D81"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Eliminer comme déchet spécial conformément aux réglementations locales et nationales.</w:t>
      </w:r>
    </w:p>
    <w:p w14:paraId="6125CDB3"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6.3.1. Pour le confinement:</w:t>
      </w:r>
    </w:p>
    <w:p w14:paraId="025142F1"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Recueillir dans des récipients fermés et appropriés pour l'élimination.</w:t>
      </w:r>
    </w:p>
    <w:p w14:paraId="0281D525"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6.3.2. Pour le nettoyage:</w:t>
      </w:r>
    </w:p>
    <w:p w14:paraId="49DAABC2"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Nettoyer les objets et zones contaminés en observant soigneusement les réglementations environnementales.</w:t>
      </w:r>
    </w:p>
    <w:p w14:paraId="64FC0E9B"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6.3.3. Autre information:</w:t>
      </w:r>
    </w:p>
    <w:p w14:paraId="34C9406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Aucune.</w:t>
      </w:r>
    </w:p>
    <w:p w14:paraId="27B87F12"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6BEF8C3C"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5FE3CA90"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40DEDE63"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2CCE5DB9" w14:textId="77777777">
        <w:trPr>
          <w:trHeight w:hRule="exact" w:val="334"/>
        </w:trPr>
        <w:tc>
          <w:tcPr>
            <w:tcW w:w="9640" w:type="dxa"/>
            <w:tcBorders>
              <w:top w:val="nil"/>
              <w:left w:val="nil"/>
              <w:bottom w:val="nil"/>
              <w:right w:val="nil"/>
            </w:tcBorders>
            <w:shd w:val="clear" w:color="auto" w:fill="FFFFFF"/>
            <w:vAlign w:val="center"/>
          </w:tcPr>
          <w:p w14:paraId="41066145"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6.4. Référence à d’autres rubriques</w:t>
            </w:r>
          </w:p>
        </w:tc>
      </w:tr>
    </w:tbl>
    <w:p w14:paraId="03EE4AE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7BBC7A5"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29E6F556"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Equipement de protection individuelle: voir la rubrique 8.</w:t>
      </w:r>
    </w:p>
    <w:p w14:paraId="1C5EA967"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7695A0FE"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654E228A"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07E29EE0"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18FE220"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7: MANIPULATION ET STOCKAGE</w:t>
            </w:r>
          </w:p>
        </w:tc>
      </w:tr>
    </w:tbl>
    <w:p w14:paraId="1BF5A22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95AD95F"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79C60897" w14:textId="77777777">
        <w:trPr>
          <w:trHeight w:hRule="exact" w:val="334"/>
        </w:trPr>
        <w:tc>
          <w:tcPr>
            <w:tcW w:w="9640" w:type="dxa"/>
            <w:tcBorders>
              <w:top w:val="nil"/>
              <w:left w:val="nil"/>
              <w:bottom w:val="nil"/>
              <w:right w:val="nil"/>
            </w:tcBorders>
            <w:shd w:val="clear" w:color="auto" w:fill="FFFFFF"/>
            <w:vAlign w:val="center"/>
          </w:tcPr>
          <w:p w14:paraId="6D51E4DE"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7.1. Précautions à prendre pour une manipulation sans danger</w:t>
            </w:r>
          </w:p>
        </w:tc>
      </w:tr>
    </w:tbl>
    <w:p w14:paraId="3D447115"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5B2FF96"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F03BF83"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Mesures de protection:</w:t>
      </w:r>
    </w:p>
    <w:p w14:paraId="0DD6C9E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uniquement dans des zones bien ventilées. Manipuler et ouvrir le récipient avec soin. Toujours fermer hermétiquement les récipients après l'élimination du produit. Porter des vêtements de protection individuelle (voir rubrique 8).</w:t>
      </w:r>
    </w:p>
    <w:p w14:paraId="040C5712"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destinées à empêcher la production de particules en suspension et de poussières:</w:t>
      </w:r>
    </w:p>
    <w:p w14:paraId="68751132"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Pendant le remplissage, la mesure et l'échantillonnage devrait être utilisé si possible: un revêtement de sol résistant aux éclaboussures. Utiliser uniquement des lignes de remplissage semi-automatiques et majoritairement fermées.</w:t>
      </w:r>
    </w:p>
    <w:p w14:paraId="6E21AC30"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 protection de l'environnement:</w:t>
      </w:r>
    </w:p>
    <w:p w14:paraId="1CD7A566"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Les puits et les égouts doivent être protégés contre la pénétration du produit. Voir la rubrique 8.</w:t>
      </w:r>
    </w:p>
    <w:p w14:paraId="17F10C8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Conseils d'ordre général en matière d'hygiène au travail:</w:t>
      </w:r>
    </w:p>
    <w:p w14:paraId="157B568A"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37B3B364"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03F5D335"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08B43D7F"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05A7EF2E"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195A47BB" w14:textId="77777777">
        <w:trPr>
          <w:trHeight w:hRule="exact" w:val="334"/>
        </w:trPr>
        <w:tc>
          <w:tcPr>
            <w:tcW w:w="9640" w:type="dxa"/>
            <w:tcBorders>
              <w:top w:val="nil"/>
              <w:left w:val="nil"/>
              <w:bottom w:val="nil"/>
              <w:right w:val="nil"/>
            </w:tcBorders>
            <w:shd w:val="clear" w:color="auto" w:fill="FFFFFF"/>
            <w:vAlign w:val="center"/>
          </w:tcPr>
          <w:p w14:paraId="168F7A7A"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7.2.  Conditions d’un stockage sûr, y compris les éventuelles incompatibilités</w:t>
            </w:r>
          </w:p>
        </w:tc>
      </w:tr>
    </w:tbl>
    <w:p w14:paraId="377E874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C17BCE8"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5B6C02A"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Mesures techniques et conditions de stockage:</w:t>
      </w:r>
    </w:p>
    <w:p w14:paraId="4EF6C15B"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 à la température ambiante.</w:t>
      </w:r>
    </w:p>
    <w:p w14:paraId="6B649F71"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12 mois à faible température entre 15°C et 20°C dans un récipient fermé hermétiquement et à l'abri de la lumière.</w:t>
      </w:r>
    </w:p>
    <w:p w14:paraId="0E4594A9"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p>
    <w:p w14:paraId="1E64CC5F"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Exigences concernant les lieux et conteneurs de stockage:</w:t>
      </w:r>
    </w:p>
    <w:p w14:paraId="1C011C19"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Conserver/stocker uniquement dans le récipient d'origine. Prévoir des zones de rétention, par exemple un plancher sans écoulement.</w:t>
      </w:r>
    </w:p>
    <w:p w14:paraId="719FBEC6"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Le sol doit être étanche, sans joints et non absorbant. Assurer une ventilation adéquate de la zone de stockage.</w:t>
      </w:r>
    </w:p>
    <w:p w14:paraId="1866AE04"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p>
    <w:p w14:paraId="362E7B23"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Information supplémentaire sur les conditions de stockage:</w:t>
      </w:r>
    </w:p>
    <w:p w14:paraId="3036C395"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Protéger les récipients contre les dommages.</w:t>
      </w:r>
    </w:p>
    <w:p w14:paraId="3FFA0B1D" w14:textId="77777777" w:rsidR="00884C39" w:rsidRDefault="00884C39">
      <w:pPr>
        <w:widowControl w:val="0"/>
        <w:autoSpaceDE w:val="0"/>
        <w:autoSpaceDN w:val="0"/>
        <w:adjustRightInd w:val="0"/>
        <w:spacing w:after="0" w:line="240" w:lineRule="auto"/>
        <w:rPr>
          <w:rFonts w:ascii="Verdana" w:hAnsi="Verdana" w:cs="Verdana"/>
          <w:color w:val="FFFFFF"/>
          <w:kern w:val="0"/>
          <w:sz w:val="17"/>
          <w:szCs w:val="17"/>
        </w:rPr>
      </w:pPr>
    </w:p>
    <w:p w14:paraId="76892528"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066376A1"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6DFA014B" w14:textId="77777777">
        <w:trPr>
          <w:trHeight w:hRule="exact" w:val="334"/>
        </w:trPr>
        <w:tc>
          <w:tcPr>
            <w:tcW w:w="9640" w:type="dxa"/>
            <w:tcBorders>
              <w:top w:val="nil"/>
              <w:left w:val="nil"/>
              <w:bottom w:val="nil"/>
              <w:right w:val="nil"/>
            </w:tcBorders>
            <w:shd w:val="clear" w:color="auto" w:fill="FFFFFF"/>
            <w:vAlign w:val="center"/>
          </w:tcPr>
          <w:p w14:paraId="30CAC52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7.3. Utilisation(s) finale(s) particulière(s)</w:t>
            </w:r>
          </w:p>
        </w:tc>
      </w:tr>
    </w:tbl>
    <w:p w14:paraId="2B1086D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410E169"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6A438B0"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Recommandations: respecter les instructions d'utilisation.</w:t>
      </w:r>
    </w:p>
    <w:p w14:paraId="651F6C9C" w14:textId="77777777" w:rsidR="00884C39" w:rsidRDefault="00884C39">
      <w:pPr>
        <w:widowControl w:val="0"/>
        <w:autoSpaceDE w:val="0"/>
        <w:autoSpaceDN w:val="0"/>
        <w:adjustRightInd w:val="0"/>
        <w:spacing w:after="0" w:line="240" w:lineRule="auto"/>
        <w:jc w:val="both"/>
        <w:rPr>
          <w:rFonts w:ascii="Arial" w:hAnsi="Arial" w:cs="Arial"/>
          <w:color w:val="FFFFFF"/>
          <w:kern w:val="0"/>
          <w:sz w:val="18"/>
          <w:szCs w:val="18"/>
        </w:rPr>
      </w:pPr>
    </w:p>
    <w:p w14:paraId="0196911D"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29C12640"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71E5290F"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7F65240C" w14:textId="77777777" w:rsidR="00884C39" w:rsidRDefault="00884C39">
      <w:pPr>
        <w:widowControl w:val="0"/>
        <w:autoSpaceDE w:val="0"/>
        <w:autoSpaceDN w:val="0"/>
        <w:adjustRightInd w:val="0"/>
        <w:spacing w:after="0" w:line="240" w:lineRule="auto"/>
        <w:rPr>
          <w:rFonts w:ascii="Times New Roman" w:hAnsi="Times New Roman" w:cs="Times New Roman"/>
          <w:kern w:val="0"/>
          <w:sz w:val="4"/>
          <w:szCs w:val="4"/>
        </w:rPr>
      </w:pPr>
    </w:p>
    <w:p w14:paraId="6624ED73"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4/10</w:t>
      </w:r>
    </w:p>
    <w:p w14:paraId="31B62FD1"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35553301"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0926B2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C2697E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F9F6598"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10953C9"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743F9122"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DDFF825"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45AFCE05"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047F7BA6"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29B73D03"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75AC6E49" w14:textId="77777777" w:rsidR="00884C39" w:rsidRDefault="00884C3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3FD1A9E5"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30FCA5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8: CONTROLES DE L'EXPOSITION/PROTECTION INDIVIDUELLE</w:t>
            </w:r>
          </w:p>
        </w:tc>
      </w:tr>
    </w:tbl>
    <w:p w14:paraId="696F84A4" w14:textId="77777777" w:rsidR="00884C39" w:rsidRDefault="00884C39">
      <w:pPr>
        <w:widowControl w:val="0"/>
        <w:autoSpaceDE w:val="0"/>
        <w:autoSpaceDN w:val="0"/>
        <w:adjustRightInd w:val="0"/>
        <w:spacing w:after="0" w:line="240" w:lineRule="auto"/>
        <w:rPr>
          <w:rFonts w:ascii="Arial" w:hAnsi="Arial" w:cs="Arial"/>
          <w:color w:val="000000"/>
          <w:kern w:val="0"/>
          <w:sz w:val="22"/>
          <w:szCs w:val="22"/>
        </w:rPr>
      </w:pPr>
    </w:p>
    <w:p w14:paraId="7640683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1FEBABC7"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Des examens de médecine préventive du travail sont à effectuer.</w:t>
      </w:r>
    </w:p>
    <w:p w14:paraId="2F29AD03"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tbl>
      <w:tblPr>
        <w:tblW w:w="9640" w:type="dxa"/>
        <w:tblInd w:w="737" w:type="dxa"/>
        <w:tblLayout w:type="fixed"/>
        <w:tblCellMar>
          <w:left w:w="0" w:type="dxa"/>
          <w:right w:w="0" w:type="dxa"/>
        </w:tblCellMar>
        <w:tblLook w:val="0000" w:firstRow="0" w:lastRow="0" w:firstColumn="0" w:lastColumn="0" w:noHBand="0" w:noVBand="0"/>
      </w:tblPr>
      <w:tblGrid>
        <w:gridCol w:w="9640"/>
      </w:tblGrid>
      <w:tr w:rsidR="00A300DB" w14:paraId="2EDE80FE" w14:textId="77777777" w:rsidTr="00611426">
        <w:trPr>
          <w:trHeight w:hRule="exact" w:val="334"/>
        </w:trPr>
        <w:tc>
          <w:tcPr>
            <w:tcW w:w="9640" w:type="dxa"/>
            <w:tcBorders>
              <w:top w:val="nil"/>
              <w:left w:val="nil"/>
              <w:bottom w:val="nil"/>
              <w:right w:val="nil"/>
            </w:tcBorders>
            <w:shd w:val="clear" w:color="auto" w:fill="FFFFFF"/>
            <w:vAlign w:val="center"/>
          </w:tcPr>
          <w:p w14:paraId="3FE0D1D4"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8.1. Paramètres de contrôle</w:t>
            </w:r>
          </w:p>
        </w:tc>
      </w:tr>
    </w:tbl>
    <w:p w14:paraId="290754FC"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95410AE"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910A17A"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Pas de données à ce jour.</w:t>
      </w:r>
    </w:p>
    <w:p w14:paraId="0736CA3D"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05865879" w14:textId="77777777">
        <w:trPr>
          <w:trHeight w:hRule="exact" w:val="334"/>
        </w:trPr>
        <w:tc>
          <w:tcPr>
            <w:tcW w:w="9640" w:type="dxa"/>
            <w:tcBorders>
              <w:top w:val="nil"/>
              <w:left w:val="nil"/>
              <w:bottom w:val="nil"/>
              <w:right w:val="nil"/>
            </w:tcBorders>
            <w:shd w:val="clear" w:color="auto" w:fill="FFFFFF"/>
            <w:vAlign w:val="center"/>
          </w:tcPr>
          <w:p w14:paraId="5BF94985"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8.2. Contrôles de l’exposition</w:t>
            </w:r>
          </w:p>
        </w:tc>
      </w:tr>
    </w:tbl>
    <w:p w14:paraId="0DFCD5A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79E1EC5"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80F4C00"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8"/>
          <w:szCs w:val="18"/>
        </w:rPr>
        <w:t>8.2.1. Contrôles techniques appropriés:</w:t>
      </w:r>
    </w:p>
    <w:p w14:paraId="0DE36D13"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Eviter le contact avec les yeux, la peau ou les vêtements. Ne pas ingérer. Eviter le contact avec les aliments et les boissons.</w:t>
      </w:r>
    </w:p>
    <w:p w14:paraId="68DC39E8"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8.2.2. Mesures de protection individuelle:</w:t>
      </w:r>
    </w:p>
    <w:p w14:paraId="63A66879"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des mains :</w:t>
      </w:r>
      <w:r>
        <w:rPr>
          <w:rFonts w:ascii="Arial" w:hAnsi="Arial" w:cs="Arial"/>
          <w:color w:val="FFFFFF"/>
          <w:kern w:val="0"/>
          <w:sz w:val="18"/>
          <w:szCs w:val="18"/>
        </w:rPr>
        <w:tab/>
      </w:r>
      <w:r>
        <w:rPr>
          <w:rFonts w:ascii="Arial" w:hAnsi="Arial" w:cs="Arial"/>
          <w:kern w:val="0"/>
          <w:sz w:val="18"/>
          <w:szCs w:val="18"/>
        </w:rPr>
        <w:t>porter des gants.</w:t>
      </w:r>
    </w:p>
    <w:p w14:paraId="0202D914"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-Protection des yeux : </w:t>
      </w:r>
      <w:r>
        <w:rPr>
          <w:rFonts w:ascii="Arial" w:hAnsi="Arial" w:cs="Arial"/>
          <w:color w:val="FFFFFF"/>
          <w:kern w:val="0"/>
          <w:sz w:val="18"/>
          <w:szCs w:val="18"/>
        </w:rPr>
        <w:tab/>
      </w:r>
      <w:r>
        <w:rPr>
          <w:rFonts w:ascii="Arial" w:hAnsi="Arial" w:cs="Arial"/>
          <w:kern w:val="0"/>
          <w:sz w:val="18"/>
          <w:szCs w:val="18"/>
        </w:rPr>
        <w:t>protection non requise.</w:t>
      </w:r>
    </w:p>
    <w:p w14:paraId="424E960E"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respiratoire :</w:t>
      </w:r>
      <w:r>
        <w:rPr>
          <w:rFonts w:ascii="Arial" w:hAnsi="Arial" w:cs="Arial"/>
          <w:color w:val="FFFFFF"/>
          <w:kern w:val="0"/>
          <w:sz w:val="18"/>
          <w:szCs w:val="18"/>
        </w:rPr>
        <w:tab/>
      </w:r>
      <w:r>
        <w:rPr>
          <w:rFonts w:ascii="Arial" w:hAnsi="Arial" w:cs="Arial"/>
          <w:kern w:val="0"/>
          <w:sz w:val="18"/>
          <w:szCs w:val="18"/>
        </w:rPr>
        <w:t>en cas de ventilation insuffisante, porter un appareil respiratoire approprié.</w:t>
      </w:r>
    </w:p>
    <w:p w14:paraId="5BDF5CFF"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p>
    <w:p w14:paraId="22FF7F2D"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p>
    <w:p w14:paraId="3EBEA156"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Ingestion : ne pas  manger, ne pas boire et ne pas fumer pendant l'utilisation.</w:t>
      </w:r>
    </w:p>
    <w:p w14:paraId="32403EBA"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Respecter les consignes indiquées au § 2.2.</w:t>
      </w:r>
    </w:p>
    <w:p w14:paraId="65B34148"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8.2.3. Contrôle d'exposition lié à la protection de l'environnement:</w:t>
      </w:r>
    </w:p>
    <w:p w14:paraId="28DC4D96"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Il importe de tester les émissions provenant des systèmes d'aération et du matériel de fabrication pour s'assurer qu'elles sont conformes aux exigences de la législation sur la protection de l'environnement. </w:t>
      </w:r>
    </w:p>
    <w:p w14:paraId="26993295"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visant à prévenir l'exposition liée à la substance/au mélange: pas de mesures spécifiques.</w:t>
      </w:r>
    </w:p>
    <w:p w14:paraId="5E3655B8"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d'instruction visant à prévenir l'exposition: pas de mesures spécifiques.</w:t>
      </w:r>
    </w:p>
    <w:p w14:paraId="65835AA5"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organisationnelles visant à prévenir l'exposition: pas de mesures spécifiques.</w:t>
      </w:r>
    </w:p>
    <w:p w14:paraId="7B394DDF"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techniques visant à prévenir l'exposition: pas de mesures spécifiques.</w:t>
      </w:r>
    </w:p>
    <w:p w14:paraId="606D4D5C"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p>
    <w:p w14:paraId="44DF6E26"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4"/>
          <w:szCs w:val="14"/>
        </w:rPr>
      </w:pPr>
    </w:p>
    <w:p w14:paraId="4A916E9D" w14:textId="77777777" w:rsidR="00884C39" w:rsidRDefault="00884C39">
      <w:pPr>
        <w:widowControl w:val="0"/>
        <w:tabs>
          <w:tab w:val="left" w:pos="850"/>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Times New Roman" w:hAnsi="Times New Roman" w:cs="Times New Roman"/>
          <w:noProof/>
          <w:kern w:val="0"/>
        </w:rPr>
        <w:drawing>
          <wp:inline distT="0" distB="0" distL="0" distR="0" wp14:anchorId="3579A05D" wp14:editId="1609DF70">
            <wp:extent cx="647700" cy="60007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p>
    <w:p w14:paraId="484D4976" w14:textId="77777777" w:rsidR="00884C39" w:rsidRDefault="00884C39">
      <w:pPr>
        <w:widowControl w:val="0"/>
        <w:autoSpaceDE w:val="0"/>
        <w:autoSpaceDN w:val="0"/>
        <w:adjustRightInd w:val="0"/>
        <w:spacing w:after="0" w:line="240" w:lineRule="auto"/>
        <w:rPr>
          <w:rFonts w:ascii="Times New Roman" w:hAnsi="Times New Roman" w:cs="Times New Roman"/>
          <w:kern w:val="0"/>
          <w:sz w:val="7"/>
          <w:szCs w:val="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49951852"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808183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9: PROPRIETES PHYSIQUES ET CHIMIQUES</w:t>
            </w:r>
          </w:p>
        </w:tc>
      </w:tr>
    </w:tbl>
    <w:p w14:paraId="77D2D9A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EF5C485"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24D4288D" w14:textId="77777777">
        <w:trPr>
          <w:trHeight w:hRule="exact" w:val="334"/>
        </w:trPr>
        <w:tc>
          <w:tcPr>
            <w:tcW w:w="9640" w:type="dxa"/>
            <w:tcBorders>
              <w:top w:val="nil"/>
              <w:left w:val="nil"/>
              <w:bottom w:val="nil"/>
              <w:right w:val="nil"/>
            </w:tcBorders>
            <w:shd w:val="clear" w:color="auto" w:fill="FFFFFF"/>
            <w:vAlign w:val="center"/>
          </w:tcPr>
          <w:p w14:paraId="65811A20"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9.1. Informations sur les propriétés physiques et chimiques essentielles</w:t>
            </w:r>
          </w:p>
        </w:tc>
      </w:tr>
    </w:tbl>
    <w:p w14:paraId="7A24646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12D2360"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1BB3173C"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408F07D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A2D12BB"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7DAAAD00" w14:textId="77777777">
        <w:trPr>
          <w:trHeight w:hRule="exact" w:val="334"/>
        </w:trPr>
        <w:tc>
          <w:tcPr>
            <w:tcW w:w="9640" w:type="dxa"/>
            <w:tcBorders>
              <w:top w:val="nil"/>
              <w:left w:val="nil"/>
              <w:bottom w:val="nil"/>
              <w:right w:val="nil"/>
            </w:tcBorders>
            <w:shd w:val="clear" w:color="auto" w:fill="FFFFFF"/>
            <w:vAlign w:val="center"/>
          </w:tcPr>
          <w:p w14:paraId="3E347649"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9.2. Autres informations</w:t>
            </w:r>
          </w:p>
        </w:tc>
      </w:tr>
    </w:tbl>
    <w:p w14:paraId="17BBDB1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CD04E55"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E59D1F7"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56D8EEAF" w14:textId="77777777" w:rsidR="00884C39" w:rsidRDefault="00884C3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311DA2AE"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B499673"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10: STABILITE ET REACTIVITE</w:t>
            </w:r>
          </w:p>
        </w:tc>
      </w:tr>
    </w:tbl>
    <w:p w14:paraId="58F6AC13"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A343DF5"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66E77DDB" w14:textId="77777777">
        <w:trPr>
          <w:trHeight w:hRule="exact" w:val="334"/>
        </w:trPr>
        <w:tc>
          <w:tcPr>
            <w:tcW w:w="9640" w:type="dxa"/>
            <w:tcBorders>
              <w:top w:val="nil"/>
              <w:left w:val="nil"/>
              <w:bottom w:val="nil"/>
              <w:right w:val="nil"/>
            </w:tcBorders>
            <w:shd w:val="clear" w:color="auto" w:fill="FFFFFF"/>
            <w:vAlign w:val="center"/>
          </w:tcPr>
          <w:p w14:paraId="1139867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10.1. Réactivité</w:t>
            </w:r>
          </w:p>
        </w:tc>
      </w:tr>
    </w:tbl>
    <w:p w14:paraId="59D42E7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C07B1B9"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E39D0EA" w14:textId="7E86EFE6"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Arial" w:hAnsi="Arial" w:cs="Arial"/>
          <w:kern w:val="0"/>
          <w:sz w:val="16"/>
          <w:szCs w:val="16"/>
        </w:rPr>
        <w:t>Aucune donnée d'essai spécifique disponible relative à la réactivité de ce produit ou de</w:t>
      </w:r>
      <w:r w:rsidR="00611426" w:rsidRPr="00611426">
        <w:rPr>
          <w:rFonts w:ascii="Arial" w:hAnsi="Arial" w:cs="Arial"/>
          <w:kern w:val="0"/>
          <w:sz w:val="16"/>
          <w:szCs w:val="16"/>
        </w:rPr>
        <w:t xml:space="preserve"> </w:t>
      </w:r>
      <w:r w:rsidR="00611426">
        <w:rPr>
          <w:rFonts w:ascii="Arial" w:hAnsi="Arial" w:cs="Arial"/>
          <w:kern w:val="0"/>
          <w:sz w:val="16"/>
          <w:szCs w:val="16"/>
        </w:rPr>
        <w:t>ses ingrédients.</w:t>
      </w:r>
    </w:p>
    <w:p w14:paraId="5B105827"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1D12C462"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734F1BF4"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3CF06517" w14:textId="77777777" w:rsidR="00884C39" w:rsidRDefault="00884C39">
      <w:pPr>
        <w:widowControl w:val="0"/>
        <w:autoSpaceDE w:val="0"/>
        <w:autoSpaceDN w:val="0"/>
        <w:adjustRightInd w:val="0"/>
        <w:spacing w:after="0" w:line="240" w:lineRule="auto"/>
        <w:rPr>
          <w:rFonts w:ascii="Times New Roman" w:hAnsi="Times New Roman" w:cs="Times New Roman"/>
          <w:kern w:val="0"/>
          <w:sz w:val="2"/>
          <w:szCs w:val="2"/>
        </w:rPr>
      </w:pPr>
    </w:p>
    <w:p w14:paraId="6D62EA29"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5/10</w:t>
      </w:r>
    </w:p>
    <w:p w14:paraId="06BE19B0"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45EC32E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169AA1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DAE72CC"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876B20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C99BAE6"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27243039"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0A3CE0B"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325AC557"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5F515649"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E680F24"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0919A75B"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E562099" w14:textId="4EDE4191" w:rsidR="00884C39" w:rsidRDefault="00884C39" w:rsidP="00611426">
      <w:pPr>
        <w:widowControl w:val="0"/>
        <w:autoSpaceDE w:val="0"/>
        <w:autoSpaceDN w:val="0"/>
        <w:adjustRightInd w:val="0"/>
        <w:spacing w:after="0" w:line="240" w:lineRule="auto"/>
        <w:jc w:val="both"/>
        <w:rPr>
          <w:rFonts w:ascii="MS Shell Dlg" w:hAnsi="MS Shell Dlg" w:cs="MS Shell Dlg"/>
          <w:kern w:val="0"/>
          <w:sz w:val="17"/>
          <w:szCs w:val="17"/>
        </w:rPr>
      </w:pPr>
      <w:r>
        <w:rPr>
          <w:rFonts w:ascii="Times New Roman" w:hAnsi="Times New Roman" w:cs="Times New Roman"/>
          <w:kern w:val="0"/>
        </w:rPr>
        <w:tab/>
      </w:r>
      <w:r>
        <w:rPr>
          <w:rFonts w:ascii="Arial" w:hAnsi="Arial" w:cs="Arial"/>
          <w:kern w:val="0"/>
          <w:sz w:val="16"/>
          <w:szCs w:val="16"/>
        </w:rPr>
        <w:t xml:space="preserve"> </w:t>
      </w:r>
    </w:p>
    <w:p w14:paraId="792D7D86"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893423B" w14:textId="77777777">
        <w:trPr>
          <w:trHeight w:hRule="exact" w:val="334"/>
        </w:trPr>
        <w:tc>
          <w:tcPr>
            <w:tcW w:w="9640" w:type="dxa"/>
            <w:tcBorders>
              <w:top w:val="nil"/>
              <w:left w:val="nil"/>
              <w:bottom w:val="nil"/>
              <w:right w:val="nil"/>
            </w:tcBorders>
            <w:shd w:val="clear" w:color="auto" w:fill="FFFFFF"/>
            <w:vAlign w:val="center"/>
          </w:tcPr>
          <w:p w14:paraId="613565E7"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10.2. Stabilité chimique</w:t>
            </w:r>
          </w:p>
        </w:tc>
      </w:tr>
    </w:tbl>
    <w:p w14:paraId="2EB96A05"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1A251C55"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La substance est chimiquement stable dans les conditions recommandées de stockage, d'utilisation et de température.</w:t>
      </w:r>
    </w:p>
    <w:p w14:paraId="0D3404CD"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1FA8D7B5"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1CE49B1" w14:textId="77777777">
        <w:trPr>
          <w:trHeight w:hRule="exact" w:val="334"/>
        </w:trPr>
        <w:tc>
          <w:tcPr>
            <w:tcW w:w="9640" w:type="dxa"/>
            <w:tcBorders>
              <w:top w:val="nil"/>
              <w:left w:val="nil"/>
              <w:bottom w:val="nil"/>
              <w:right w:val="nil"/>
            </w:tcBorders>
            <w:shd w:val="clear" w:color="auto" w:fill="FFFFFF"/>
            <w:vAlign w:val="center"/>
          </w:tcPr>
          <w:p w14:paraId="2B680D2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10.3. Possibilité de réactions dangereuses</w:t>
            </w:r>
          </w:p>
        </w:tc>
      </w:tr>
    </w:tbl>
    <w:p w14:paraId="52115E7F"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F62FD55"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réaction dangereuse lorsqu'il est manipulé et stocké conformément aux dispositions.</w:t>
      </w:r>
    </w:p>
    <w:p w14:paraId="139DA5DC"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Eviter le contact avec les acides, les bases et les agents oxydants.</w:t>
      </w:r>
    </w:p>
    <w:p w14:paraId="281136B1"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76BF167"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2A5959BA" w14:textId="77777777">
        <w:trPr>
          <w:trHeight w:hRule="exact" w:val="334"/>
        </w:trPr>
        <w:tc>
          <w:tcPr>
            <w:tcW w:w="9640" w:type="dxa"/>
            <w:tcBorders>
              <w:top w:val="nil"/>
              <w:left w:val="nil"/>
              <w:bottom w:val="nil"/>
              <w:right w:val="nil"/>
            </w:tcBorders>
            <w:shd w:val="clear" w:color="auto" w:fill="FFFFFF"/>
            <w:vAlign w:val="center"/>
          </w:tcPr>
          <w:p w14:paraId="4318D2BC"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10.4. Conditions à éviter</w:t>
            </w:r>
          </w:p>
        </w:tc>
      </w:tr>
    </w:tbl>
    <w:p w14:paraId="2270415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7883E3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Eviter les températures au-dessus ou au moins 5°C en-dessous du point d'éclair pour tout liquide inflammable.</w:t>
      </w:r>
    </w:p>
    <w:p w14:paraId="50C87F81"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pas chauffer les récipients fermés.</w:t>
      </w:r>
    </w:p>
    <w:p w14:paraId="36D04D6F"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Eviter le contact avec des agents oxydants.</w:t>
      </w:r>
    </w:p>
    <w:p w14:paraId="70375F6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Sources directes de chaleur.</w:t>
      </w:r>
    </w:p>
    <w:p w14:paraId="3371988F"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27F67A9F"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43727A05" w14:textId="77777777">
        <w:trPr>
          <w:trHeight w:hRule="exact" w:val="334"/>
        </w:trPr>
        <w:tc>
          <w:tcPr>
            <w:tcW w:w="9640" w:type="dxa"/>
            <w:tcBorders>
              <w:top w:val="nil"/>
              <w:left w:val="nil"/>
              <w:bottom w:val="nil"/>
              <w:right w:val="nil"/>
            </w:tcBorders>
            <w:shd w:val="clear" w:color="auto" w:fill="FFFFFF"/>
            <w:vAlign w:val="center"/>
          </w:tcPr>
          <w:p w14:paraId="35CAE2FB"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10.5. Matières incompatibles</w:t>
            </w:r>
          </w:p>
        </w:tc>
      </w:tr>
    </w:tbl>
    <w:p w14:paraId="72E2DC26"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4249279"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Acides - Bases - Agents oxydants.</w:t>
      </w:r>
    </w:p>
    <w:p w14:paraId="0A13D865"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4C5A0C4E"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77C44CA1" w14:textId="77777777">
        <w:trPr>
          <w:trHeight w:hRule="exact" w:val="334"/>
        </w:trPr>
        <w:tc>
          <w:tcPr>
            <w:tcW w:w="9640" w:type="dxa"/>
            <w:tcBorders>
              <w:top w:val="nil"/>
              <w:left w:val="nil"/>
              <w:bottom w:val="nil"/>
              <w:right w:val="nil"/>
            </w:tcBorders>
            <w:shd w:val="clear" w:color="auto" w:fill="FFFFFF"/>
            <w:vAlign w:val="center"/>
          </w:tcPr>
          <w:p w14:paraId="3596DDB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10.6. Produits de décomposition dangereux</w:t>
            </w:r>
          </w:p>
        </w:tc>
      </w:tr>
    </w:tbl>
    <w:p w14:paraId="245A7B92"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E4343B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 xml:space="preserve">Décomposition thermique / conditions à éviter : </w:t>
      </w:r>
    </w:p>
    <w:p w14:paraId="358A903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Pas de décomposition en cas d'usage conforme.</w:t>
      </w:r>
    </w:p>
    <w:p w14:paraId="1FCC4130"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Produits de décomposition dangereux : pas de produits de décomposition dangereux connus.</w:t>
      </w:r>
    </w:p>
    <w:p w14:paraId="79ED9DC9"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se décompose pas lorsqu'il est utilisé pour les utilisations prévues.</w:t>
      </w:r>
    </w:p>
    <w:p w14:paraId="2BCB0F92"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28212F14"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5B064DC9"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C17E058"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11: INFORMATIONS TOXICOLOGIQUES</w:t>
            </w:r>
          </w:p>
        </w:tc>
      </w:tr>
    </w:tbl>
    <w:p w14:paraId="1BE2EC3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B8DC04A"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F8855D6" w14:textId="77777777">
        <w:trPr>
          <w:trHeight w:hRule="exact" w:val="334"/>
        </w:trPr>
        <w:tc>
          <w:tcPr>
            <w:tcW w:w="9640" w:type="dxa"/>
            <w:tcBorders>
              <w:top w:val="nil"/>
              <w:left w:val="nil"/>
              <w:bottom w:val="nil"/>
              <w:right w:val="nil"/>
            </w:tcBorders>
            <w:shd w:val="clear" w:color="auto" w:fill="FFFFFF"/>
            <w:vAlign w:val="center"/>
          </w:tcPr>
          <w:p w14:paraId="3816D8CF"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11.1. Informations sur les classes de danger telles que définies dans le règlement (CE) nº 1272/2008</w:t>
            </w:r>
          </w:p>
        </w:tc>
      </w:tr>
    </w:tbl>
    <w:p w14:paraId="0C51EE61"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E32A77A"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84FBB8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 toxicité aiguë</w:t>
      </w:r>
    </w:p>
    <w:p w14:paraId="65DAEDF5"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(oral) = 1 591,93 (Déterminée)  (mg/kg)</w:t>
      </w:r>
    </w:p>
    <w:p w14:paraId="1AE7B2C3"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(dermique) = 4 444,44 (Déterminée)  (mg/kg)</w:t>
      </w:r>
    </w:p>
    <w:p w14:paraId="45C1A5C0"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(inhal.) = Non déterminée (mg/l/4 h)</w:t>
      </w:r>
    </w:p>
    <w:p w14:paraId="31009875"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b) corrosion cutanée/irritation cutanée</w:t>
      </w:r>
    </w:p>
    <w:p w14:paraId="7EE594F2"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488FFCF4"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 lésions oculaires graves/irritation oculaire</w:t>
      </w:r>
    </w:p>
    <w:p w14:paraId="56E7EBF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1A553077"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d) sensibilisation respiratoire ou cutanée</w:t>
      </w:r>
    </w:p>
    <w:p w14:paraId="5130F9C1"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16"/>
          <w:szCs w:val="16"/>
        </w:rPr>
        <w:t>voir section 2</w:t>
      </w:r>
    </w:p>
    <w:p w14:paraId="5EEA479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 mutagénicité sur les cellules germinales</w:t>
      </w:r>
    </w:p>
    <w:p w14:paraId="5CCA3E74"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5CAE1F9"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f) cancérogénicité</w:t>
      </w:r>
    </w:p>
    <w:p w14:paraId="634BF4A2"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0B13DA8" w14:textId="0E5A6B1B" w:rsidR="00611426" w:rsidRDefault="00884C39" w:rsidP="00611426">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g) toxicité pour la reproduct</w:t>
      </w:r>
      <w:r w:rsidR="00611426">
        <w:rPr>
          <w:rFonts w:ascii="Arial" w:hAnsi="Arial" w:cs="Arial"/>
          <w:kern w:val="0"/>
          <w:sz w:val="16"/>
          <w:szCs w:val="16"/>
        </w:rPr>
        <w:t>ion</w:t>
      </w:r>
    </w:p>
    <w:p w14:paraId="3A973EB5" w14:textId="77777777" w:rsidR="00611426" w:rsidRDefault="00611426" w:rsidP="00611426">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73F4C942" w14:textId="574D7613"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rPr>
      </w:pPr>
    </w:p>
    <w:p w14:paraId="10D9E416"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120FE441"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6B4574D"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4F85D59A"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5C604A5D" w14:textId="77777777" w:rsidR="00884C39" w:rsidRDefault="00884C39">
      <w:pPr>
        <w:widowControl w:val="0"/>
        <w:autoSpaceDE w:val="0"/>
        <w:autoSpaceDN w:val="0"/>
        <w:adjustRightInd w:val="0"/>
        <w:spacing w:after="0" w:line="240" w:lineRule="auto"/>
        <w:rPr>
          <w:rFonts w:ascii="Times New Roman" w:hAnsi="Times New Roman" w:cs="Times New Roman"/>
          <w:kern w:val="0"/>
          <w:sz w:val="2"/>
          <w:szCs w:val="2"/>
        </w:rPr>
      </w:pPr>
    </w:p>
    <w:p w14:paraId="7511AE52"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6/10</w:t>
      </w:r>
    </w:p>
    <w:p w14:paraId="4259662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7AB051B6"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93B9CC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EF9E98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48120E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8D852F3"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721233D1"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DF318FA"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3F5AC2A6"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17EA3F89"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10942D75"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1FA0AE4F"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023A3FE" w14:textId="697BE29B" w:rsidR="00884C39" w:rsidRDefault="00884C39" w:rsidP="00611426">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p>
    <w:p w14:paraId="5257211D"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h) toxicité spécifique pour certains organes cibles (STOT) – exposition unique</w:t>
      </w:r>
    </w:p>
    <w:p w14:paraId="739E2734"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1552F5A5"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i) toxicité spécifique pour certains organes cibles (STOT) – exposition répétée</w:t>
      </w:r>
    </w:p>
    <w:p w14:paraId="2AA6893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1EBE23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j) danger par aspiration</w:t>
      </w:r>
    </w:p>
    <w:p w14:paraId="615352BE"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49A2448" w14:textId="77777777" w:rsidR="00884C39" w:rsidRDefault="00884C39">
      <w:pPr>
        <w:widowControl w:val="0"/>
        <w:autoSpaceDE w:val="0"/>
        <w:autoSpaceDN w:val="0"/>
        <w:adjustRightInd w:val="0"/>
        <w:spacing w:after="0" w:line="240" w:lineRule="auto"/>
        <w:jc w:val="both"/>
        <w:rPr>
          <w:rFonts w:ascii="Arial" w:hAnsi="Arial" w:cs="Arial"/>
          <w:color w:val="FFFFFF"/>
          <w:kern w:val="0"/>
          <w:sz w:val="16"/>
          <w:szCs w:val="16"/>
        </w:rPr>
      </w:pPr>
    </w:p>
    <w:p w14:paraId="506677FD"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17FCD958" w14:textId="77777777">
        <w:trPr>
          <w:trHeight w:hRule="exact" w:val="334"/>
        </w:trPr>
        <w:tc>
          <w:tcPr>
            <w:tcW w:w="9640" w:type="dxa"/>
            <w:tcBorders>
              <w:top w:val="nil"/>
              <w:left w:val="nil"/>
              <w:bottom w:val="nil"/>
              <w:right w:val="nil"/>
            </w:tcBorders>
            <w:shd w:val="clear" w:color="auto" w:fill="FFFFFF"/>
            <w:vAlign w:val="center"/>
          </w:tcPr>
          <w:p w14:paraId="061613A8"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11.2.  Informations sur les autres dangers</w:t>
            </w:r>
          </w:p>
        </w:tc>
      </w:tr>
    </w:tbl>
    <w:p w14:paraId="63134165" w14:textId="77777777" w:rsidR="00884C39" w:rsidRDefault="00884C39">
      <w:pPr>
        <w:widowControl w:val="0"/>
        <w:autoSpaceDE w:val="0"/>
        <w:autoSpaceDN w:val="0"/>
        <w:adjustRightInd w:val="0"/>
        <w:spacing w:after="0" w:line="240" w:lineRule="auto"/>
        <w:rPr>
          <w:rFonts w:ascii="Arial" w:hAnsi="Arial" w:cs="Arial"/>
          <w:color w:val="000000"/>
          <w:kern w:val="0"/>
          <w:sz w:val="6"/>
          <w:szCs w:val="6"/>
        </w:rPr>
      </w:pPr>
    </w:p>
    <w:p w14:paraId="74C0B7A6"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11.2.1. Propriétés perturbant le système endocrinien:</w:t>
      </w:r>
    </w:p>
    <w:p w14:paraId="20525417"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1170C8B4"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11.2.2. Autres informations:</w:t>
      </w:r>
    </w:p>
    <w:p w14:paraId="2ED06CC5"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0CE99112" w14:textId="77777777" w:rsidR="00884C39" w:rsidRDefault="00884C39">
      <w:pPr>
        <w:widowControl w:val="0"/>
        <w:autoSpaceDE w:val="0"/>
        <w:autoSpaceDN w:val="0"/>
        <w:adjustRightInd w:val="0"/>
        <w:spacing w:after="0" w:line="240" w:lineRule="auto"/>
        <w:rPr>
          <w:rFonts w:ascii="Arial" w:hAnsi="Arial" w:cs="Arial"/>
          <w:color w:val="FFFFFF"/>
          <w:kern w:val="0"/>
          <w:sz w:val="17"/>
          <w:szCs w:val="17"/>
        </w:rPr>
      </w:pPr>
    </w:p>
    <w:tbl>
      <w:tblPr>
        <w:tblW w:w="9652" w:type="dxa"/>
        <w:tblInd w:w="8" w:type="dxa"/>
        <w:tblLayout w:type="fixed"/>
        <w:tblCellMar>
          <w:left w:w="0" w:type="dxa"/>
          <w:right w:w="0" w:type="dxa"/>
        </w:tblCellMar>
        <w:tblLook w:val="0000" w:firstRow="0" w:lastRow="0" w:firstColumn="0" w:lastColumn="0" w:noHBand="0" w:noVBand="0"/>
      </w:tblPr>
      <w:tblGrid>
        <w:gridCol w:w="9652"/>
      </w:tblGrid>
      <w:tr w:rsidR="00A300DB" w14:paraId="76E1CDA0" w14:textId="77777777" w:rsidTr="00611426">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7BB48B9"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12: INFORMATIONS ECOLOGIQUES</w:t>
            </w:r>
          </w:p>
        </w:tc>
      </w:tr>
    </w:tbl>
    <w:p w14:paraId="4F9A6CF5"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252DA54"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0BD4EF0" w14:textId="77777777">
        <w:trPr>
          <w:trHeight w:hRule="exact" w:val="334"/>
        </w:trPr>
        <w:tc>
          <w:tcPr>
            <w:tcW w:w="9640" w:type="dxa"/>
            <w:tcBorders>
              <w:top w:val="nil"/>
              <w:left w:val="nil"/>
              <w:bottom w:val="nil"/>
              <w:right w:val="nil"/>
            </w:tcBorders>
            <w:shd w:val="clear" w:color="auto" w:fill="FFFFFF"/>
            <w:vAlign w:val="center"/>
          </w:tcPr>
          <w:p w14:paraId="6F8EB4DC"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12.1. Toxicité</w:t>
            </w:r>
          </w:p>
        </w:tc>
      </w:tr>
    </w:tbl>
    <w:p w14:paraId="098A2023"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2FF951E"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2084E6D"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Ne pas laisser le produit, non dilué ou en grande quantité, pénétrer la nappe phréatique, les eaux superficielles ou les égouts.</w:t>
      </w:r>
    </w:p>
    <w:p w14:paraId="43B5A415"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tbl>
      <w:tblPr>
        <w:tblW w:w="9640" w:type="dxa"/>
        <w:tblInd w:w="737" w:type="dxa"/>
        <w:tblLayout w:type="fixed"/>
        <w:tblCellMar>
          <w:left w:w="0" w:type="dxa"/>
          <w:right w:w="0" w:type="dxa"/>
        </w:tblCellMar>
        <w:tblLook w:val="0000" w:firstRow="0" w:lastRow="0" w:firstColumn="0" w:lastColumn="0" w:noHBand="0" w:noVBand="0"/>
      </w:tblPr>
      <w:tblGrid>
        <w:gridCol w:w="9640"/>
      </w:tblGrid>
      <w:tr w:rsidR="00A300DB" w14:paraId="6D2E6521" w14:textId="77777777" w:rsidTr="00611426">
        <w:trPr>
          <w:trHeight w:hRule="exact" w:val="334"/>
        </w:trPr>
        <w:tc>
          <w:tcPr>
            <w:tcW w:w="9640" w:type="dxa"/>
            <w:tcBorders>
              <w:top w:val="nil"/>
              <w:left w:val="nil"/>
              <w:bottom w:val="nil"/>
              <w:right w:val="nil"/>
            </w:tcBorders>
            <w:shd w:val="clear" w:color="auto" w:fill="FFFFFF"/>
            <w:vAlign w:val="center"/>
          </w:tcPr>
          <w:p w14:paraId="793479B7"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12.2. Persistance et dégradabilité</w:t>
            </w:r>
          </w:p>
        </w:tc>
      </w:tr>
    </w:tbl>
    <w:p w14:paraId="27EA8260"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A985931"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1A28F1B" w14:textId="77777777" w:rsidR="00884C39" w:rsidRDefault="00884C3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Pas de données à ce jour.</w:t>
      </w:r>
    </w:p>
    <w:p w14:paraId="0458E4A4"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6148155C"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25684397"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0B9AE378" w14:textId="77777777">
        <w:trPr>
          <w:trHeight w:hRule="exact" w:val="334"/>
        </w:trPr>
        <w:tc>
          <w:tcPr>
            <w:tcW w:w="9640" w:type="dxa"/>
            <w:tcBorders>
              <w:top w:val="nil"/>
              <w:left w:val="nil"/>
              <w:bottom w:val="nil"/>
              <w:right w:val="nil"/>
            </w:tcBorders>
            <w:shd w:val="clear" w:color="auto" w:fill="FFFFFF"/>
            <w:vAlign w:val="center"/>
          </w:tcPr>
          <w:p w14:paraId="2BF5B12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12.3. Potentiel de bioaccumulation</w:t>
            </w:r>
          </w:p>
        </w:tc>
      </w:tr>
    </w:tbl>
    <w:p w14:paraId="50151715"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4236C13"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DF600DF"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51815F98"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6B3D2661"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392CC256" w14:textId="77777777">
        <w:trPr>
          <w:trHeight w:hRule="exact" w:val="334"/>
        </w:trPr>
        <w:tc>
          <w:tcPr>
            <w:tcW w:w="9640" w:type="dxa"/>
            <w:tcBorders>
              <w:top w:val="nil"/>
              <w:left w:val="nil"/>
              <w:bottom w:val="nil"/>
              <w:right w:val="nil"/>
            </w:tcBorders>
            <w:shd w:val="clear" w:color="auto" w:fill="FFFFFF"/>
            <w:vAlign w:val="center"/>
          </w:tcPr>
          <w:p w14:paraId="23F6411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12.4. Mobilité dans le sol</w:t>
            </w:r>
          </w:p>
        </w:tc>
      </w:tr>
    </w:tbl>
    <w:p w14:paraId="05283E0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3E14645"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2451C532"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51E6B6E6"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1B0381AE"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453C817F" w14:textId="77777777">
        <w:trPr>
          <w:trHeight w:hRule="exact" w:val="334"/>
        </w:trPr>
        <w:tc>
          <w:tcPr>
            <w:tcW w:w="9640" w:type="dxa"/>
            <w:tcBorders>
              <w:top w:val="nil"/>
              <w:left w:val="nil"/>
              <w:bottom w:val="nil"/>
              <w:right w:val="nil"/>
            </w:tcBorders>
            <w:shd w:val="clear" w:color="auto" w:fill="FFFFFF"/>
            <w:vAlign w:val="center"/>
          </w:tcPr>
          <w:p w14:paraId="7092A7CE"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12.5. Résultats des évaluations PBT et vPvB</w:t>
            </w:r>
          </w:p>
        </w:tc>
      </w:tr>
    </w:tbl>
    <w:p w14:paraId="3D40C220"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864090F"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0BC7092"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11AD042C"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585BE69"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3962340E" w14:textId="77777777">
        <w:trPr>
          <w:trHeight w:hRule="exact" w:val="334"/>
        </w:trPr>
        <w:tc>
          <w:tcPr>
            <w:tcW w:w="9640" w:type="dxa"/>
            <w:tcBorders>
              <w:top w:val="nil"/>
              <w:left w:val="nil"/>
              <w:bottom w:val="nil"/>
              <w:right w:val="nil"/>
            </w:tcBorders>
            <w:shd w:val="clear" w:color="auto" w:fill="FFFFFF"/>
            <w:vAlign w:val="center"/>
          </w:tcPr>
          <w:p w14:paraId="66E6A559"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12.6. Propriétés perturbant le système endocrinien</w:t>
            </w:r>
          </w:p>
        </w:tc>
      </w:tr>
    </w:tbl>
    <w:p w14:paraId="0773C61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565348F" w14:textId="77777777" w:rsidR="00884C39" w:rsidRDefault="00884C39">
      <w:pPr>
        <w:widowControl w:val="0"/>
        <w:autoSpaceDE w:val="0"/>
        <w:autoSpaceDN w:val="0"/>
        <w:adjustRightInd w:val="0"/>
        <w:spacing w:after="0" w:line="240" w:lineRule="auto"/>
        <w:rPr>
          <w:rFonts w:ascii="Arial" w:hAnsi="Arial" w:cs="Arial"/>
          <w:color w:val="000000"/>
          <w:kern w:val="0"/>
          <w:sz w:val="6"/>
          <w:szCs w:val="6"/>
        </w:rPr>
      </w:pPr>
    </w:p>
    <w:p w14:paraId="1DB33CEF" w14:textId="37150026" w:rsidR="00611426" w:rsidRDefault="00884C39" w:rsidP="00611426">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w:t>
      </w:r>
      <w:r w:rsidR="00611426">
        <w:rPr>
          <w:rFonts w:ascii="Arial" w:hAnsi="Arial" w:cs="Arial"/>
          <w:kern w:val="0"/>
          <w:sz w:val="16"/>
          <w:szCs w:val="16"/>
        </w:rPr>
        <w:t>onnées à ce jour.</w:t>
      </w:r>
    </w:p>
    <w:p w14:paraId="00355A0B" w14:textId="77777777" w:rsidR="00611426" w:rsidRDefault="00611426" w:rsidP="00611426">
      <w:pPr>
        <w:widowControl w:val="0"/>
        <w:autoSpaceDE w:val="0"/>
        <w:autoSpaceDN w:val="0"/>
        <w:adjustRightInd w:val="0"/>
        <w:spacing w:after="0" w:line="240" w:lineRule="auto"/>
        <w:rPr>
          <w:rFonts w:ascii="Arial" w:hAnsi="Arial" w:cs="Arial"/>
          <w:color w:val="FFFFFF"/>
          <w:kern w:val="0"/>
          <w:sz w:val="20"/>
          <w:szCs w:val="20"/>
        </w:rPr>
      </w:pPr>
    </w:p>
    <w:p w14:paraId="19CC1AD6" w14:textId="77777777" w:rsidR="00611426" w:rsidRDefault="00611426" w:rsidP="00611426">
      <w:pPr>
        <w:widowControl w:val="0"/>
        <w:autoSpaceDE w:val="0"/>
        <w:autoSpaceDN w:val="0"/>
        <w:adjustRightInd w:val="0"/>
        <w:spacing w:after="0" w:line="240" w:lineRule="auto"/>
        <w:rPr>
          <w:rFonts w:ascii="MS Shell Dlg" w:hAnsi="MS Shell Dlg" w:cs="MS Shell Dlg"/>
          <w:kern w:val="0"/>
          <w:sz w:val="17"/>
          <w:szCs w:val="17"/>
        </w:rPr>
      </w:pPr>
    </w:p>
    <w:p w14:paraId="462E381E" w14:textId="77777777" w:rsidR="00611426" w:rsidRDefault="00611426" w:rsidP="00611426">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611426" w14:paraId="071E65C1" w14:textId="77777777" w:rsidTr="00FD03E2">
        <w:trPr>
          <w:trHeight w:hRule="exact" w:val="334"/>
        </w:trPr>
        <w:tc>
          <w:tcPr>
            <w:tcW w:w="9640" w:type="dxa"/>
            <w:tcBorders>
              <w:top w:val="nil"/>
              <w:left w:val="nil"/>
              <w:bottom w:val="nil"/>
              <w:right w:val="nil"/>
            </w:tcBorders>
            <w:shd w:val="clear" w:color="auto" w:fill="FFFFFF"/>
            <w:vAlign w:val="center"/>
          </w:tcPr>
          <w:p w14:paraId="762BBDD4" w14:textId="77777777" w:rsidR="00611426" w:rsidRDefault="00611426" w:rsidP="00FD03E2">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12.7. Autres effets néfastes</w:t>
            </w:r>
          </w:p>
        </w:tc>
      </w:tr>
    </w:tbl>
    <w:p w14:paraId="34325AC8" w14:textId="77777777" w:rsidR="00611426" w:rsidRDefault="00611426" w:rsidP="00611426">
      <w:pPr>
        <w:widowControl w:val="0"/>
        <w:autoSpaceDE w:val="0"/>
        <w:autoSpaceDN w:val="0"/>
        <w:adjustRightInd w:val="0"/>
        <w:spacing w:after="0" w:line="240" w:lineRule="auto"/>
        <w:rPr>
          <w:rFonts w:ascii="Arial" w:hAnsi="Arial" w:cs="Arial"/>
          <w:color w:val="000000"/>
          <w:kern w:val="0"/>
          <w:sz w:val="20"/>
          <w:szCs w:val="20"/>
        </w:rPr>
      </w:pPr>
    </w:p>
    <w:p w14:paraId="0AD170F1" w14:textId="77777777" w:rsidR="00611426" w:rsidRDefault="00611426" w:rsidP="00611426">
      <w:pPr>
        <w:widowControl w:val="0"/>
        <w:autoSpaceDE w:val="0"/>
        <w:autoSpaceDN w:val="0"/>
        <w:adjustRightInd w:val="0"/>
        <w:spacing w:after="0" w:line="240" w:lineRule="auto"/>
        <w:rPr>
          <w:rFonts w:ascii="Arial" w:hAnsi="Arial" w:cs="Arial"/>
          <w:color w:val="000000"/>
          <w:kern w:val="0"/>
          <w:sz w:val="10"/>
          <w:szCs w:val="10"/>
        </w:rPr>
      </w:pPr>
    </w:p>
    <w:p w14:paraId="1FE68F91" w14:textId="77777777" w:rsidR="00611426" w:rsidRDefault="00611426" w:rsidP="00611426">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569E189B" w14:textId="6B1E6220"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rPr>
      </w:pPr>
    </w:p>
    <w:p w14:paraId="0A22D72A"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5CA7B2A3"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287CF627"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5CFBEEF6" w14:textId="77777777" w:rsidR="00884C39" w:rsidRDefault="00884C39">
      <w:pPr>
        <w:widowControl w:val="0"/>
        <w:autoSpaceDE w:val="0"/>
        <w:autoSpaceDN w:val="0"/>
        <w:adjustRightInd w:val="0"/>
        <w:spacing w:after="0" w:line="240" w:lineRule="auto"/>
        <w:rPr>
          <w:rFonts w:ascii="Times New Roman" w:hAnsi="Times New Roman" w:cs="Times New Roman"/>
          <w:kern w:val="0"/>
          <w:sz w:val="2"/>
          <w:szCs w:val="2"/>
        </w:rPr>
      </w:pPr>
    </w:p>
    <w:p w14:paraId="480B476E"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7/10</w:t>
      </w:r>
    </w:p>
    <w:p w14:paraId="73C02EA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ECAF238"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ABB2CA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9ADDCF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E039E3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BD988AF"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650C5AE7"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35D8035"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6082E41"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22E34164"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035061A3"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3DBE688E"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tbl>
      <w:tblPr>
        <w:tblW w:w="9652" w:type="dxa"/>
        <w:tblInd w:w="8" w:type="dxa"/>
        <w:tblLayout w:type="fixed"/>
        <w:tblCellMar>
          <w:left w:w="0" w:type="dxa"/>
          <w:right w:w="0" w:type="dxa"/>
        </w:tblCellMar>
        <w:tblLook w:val="0000" w:firstRow="0" w:lastRow="0" w:firstColumn="0" w:lastColumn="0" w:noHBand="0" w:noVBand="0"/>
      </w:tblPr>
      <w:tblGrid>
        <w:gridCol w:w="9652"/>
      </w:tblGrid>
      <w:tr w:rsidR="00A300DB" w14:paraId="1699F9DE" w14:textId="77777777" w:rsidTr="00611426">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4BB7591" w14:textId="3BB38BDE"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Times New Roman" w:hAnsi="Times New Roman" w:cs="Times New Roman"/>
                <w:kern w:val="0"/>
              </w:rPr>
              <w:tab/>
            </w:r>
            <w:r>
              <w:rPr>
                <w:rFonts w:ascii="Arial" w:hAnsi="Arial" w:cs="Arial"/>
                <w:color w:val="000000"/>
                <w:kern w:val="0"/>
                <w:sz w:val="22"/>
                <w:szCs w:val="22"/>
              </w:rPr>
              <w:t>13: CONSIDERATIONS RELATIVES A L'ELIMINATION</w:t>
            </w:r>
          </w:p>
        </w:tc>
      </w:tr>
    </w:tbl>
    <w:p w14:paraId="2C138A5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4AF43DD"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7718C4E" w14:textId="77777777">
        <w:trPr>
          <w:trHeight w:hRule="exact" w:val="334"/>
        </w:trPr>
        <w:tc>
          <w:tcPr>
            <w:tcW w:w="9640" w:type="dxa"/>
            <w:tcBorders>
              <w:top w:val="nil"/>
              <w:left w:val="nil"/>
              <w:bottom w:val="nil"/>
              <w:right w:val="nil"/>
            </w:tcBorders>
            <w:shd w:val="clear" w:color="auto" w:fill="FFFFFF"/>
            <w:vAlign w:val="center"/>
          </w:tcPr>
          <w:p w14:paraId="52CB2C5B"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13.1. Méthodes de traitement des déchets</w:t>
            </w:r>
          </w:p>
        </w:tc>
      </w:tr>
    </w:tbl>
    <w:p w14:paraId="3A205FBB"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7056925"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59F6C9B"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13.1.1 Disposition relative au produit/à l'emballage:</w:t>
      </w:r>
    </w:p>
    <w:p w14:paraId="0016710C"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Liste des codes/désignations de déchets proposés conformément au CED.</w:t>
      </w:r>
    </w:p>
    <w:p w14:paraId="77FB7AD9"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déchets doivent être éliminés conformément à la réglementation locale. Les codes de déchet doivent être attribués par l'utilisateur, de préférence en concertation avec les autorités d'élimination des déchets.</w:t>
      </w:r>
    </w:p>
    <w:p w14:paraId="05A4DE75"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20F6E6ED"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13.1.2 Traitement des déchets - information pertinente:</w:t>
      </w:r>
    </w:p>
    <w:p w14:paraId="3B05E352"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Ils peuvent être incinérés avec les ordures ménagères en conformité avec les règlements techniques applicables après consultation des sociétés de gestion d'élimination des déchets agréées et des autorités en charge.</w:t>
      </w:r>
    </w:p>
    <w:p w14:paraId="6BEE96BB"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3B196AE3"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13.1.3 Evacuation des eaux usées - information pertinente:</w:t>
      </w:r>
    </w:p>
    <w:p w14:paraId="5926501E"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 rejet dans l'environnement ou le réseau d'égouts est interdit. Elles doivent être traitées comme des déchets dangereux.</w:t>
      </w:r>
    </w:p>
    <w:p w14:paraId="2DDC7DF2"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7ED867BB"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13.1.4 Autres recommandations d'élimination:</w:t>
      </w:r>
    </w:p>
    <w:p w14:paraId="4F106153"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Manipuler les emballages contaminés de la même manière que la substance elle-même.</w:t>
      </w:r>
    </w:p>
    <w:p w14:paraId="427298AD"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4157F16D"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51943E6A"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5D5AE7F"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14: INFORMATIONS RELATIVES AU TRANSPORT</w:t>
            </w:r>
          </w:p>
        </w:tc>
      </w:tr>
    </w:tbl>
    <w:p w14:paraId="3F2B4126" w14:textId="77777777" w:rsidR="00884C39" w:rsidRDefault="00884C39">
      <w:pPr>
        <w:widowControl w:val="0"/>
        <w:autoSpaceDE w:val="0"/>
        <w:autoSpaceDN w:val="0"/>
        <w:adjustRightInd w:val="0"/>
        <w:spacing w:after="0" w:line="240" w:lineRule="auto"/>
        <w:rPr>
          <w:rFonts w:ascii="Arial" w:hAnsi="Arial" w:cs="Arial"/>
          <w:color w:val="000000"/>
          <w:kern w:val="0"/>
          <w:sz w:val="22"/>
          <w:szCs w:val="22"/>
        </w:rPr>
      </w:pPr>
    </w:p>
    <w:p w14:paraId="796F2412"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37C7BB81"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04710C2C"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En cas de fuite accidentelle ou d'incendie durant le transport, se référer aux instructions données aux points 5, 6, 7 et 8 ci-dessus.</w:t>
      </w:r>
    </w:p>
    <w:p w14:paraId="7FECB252"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3681F8CA"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333220BF"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3109E66E" w14:textId="77777777">
        <w:trPr>
          <w:trHeight w:hRule="exact" w:val="334"/>
        </w:trPr>
        <w:tc>
          <w:tcPr>
            <w:tcW w:w="9640" w:type="dxa"/>
            <w:tcBorders>
              <w:top w:val="nil"/>
              <w:left w:val="nil"/>
              <w:bottom w:val="nil"/>
              <w:right w:val="nil"/>
            </w:tcBorders>
            <w:shd w:val="clear" w:color="auto" w:fill="FFFFFF"/>
            <w:vAlign w:val="center"/>
          </w:tcPr>
          <w:p w14:paraId="251EFE2E"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14.1. Numéro ONU ou numéro d’identification</w:t>
            </w:r>
          </w:p>
        </w:tc>
      </w:tr>
    </w:tbl>
    <w:p w14:paraId="63D9DAE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7AEF089"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D4E88D7"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6F5E42">
        <w:rPr>
          <w:rFonts w:ascii="Arial" w:hAnsi="Arial" w:cs="Arial"/>
          <w:color w:val="000000"/>
          <w:kern w:val="0"/>
          <w:sz w:val="18"/>
          <w:szCs w:val="18"/>
          <w:lang w:val="it-IT"/>
        </w:rPr>
        <w:t>ADR : NON REGLEMENTE</w:t>
      </w:r>
    </w:p>
    <w:p w14:paraId="58E48E79"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6F5E42">
        <w:rPr>
          <w:rFonts w:ascii="Arial" w:hAnsi="Arial" w:cs="Arial"/>
          <w:color w:val="000000"/>
          <w:kern w:val="0"/>
          <w:sz w:val="18"/>
          <w:szCs w:val="18"/>
          <w:lang w:val="it-IT"/>
        </w:rPr>
        <w:tab/>
        <w:t>IMDG:NON REGLEMENTE</w:t>
      </w:r>
    </w:p>
    <w:p w14:paraId="533AA726"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6F5E42">
        <w:rPr>
          <w:rFonts w:ascii="Arial" w:hAnsi="Arial" w:cs="Arial"/>
          <w:color w:val="000000"/>
          <w:kern w:val="0"/>
          <w:sz w:val="18"/>
          <w:szCs w:val="18"/>
          <w:lang w:val="it-IT"/>
        </w:rPr>
        <w:tab/>
        <w:t>IATA :NON REGLEMENTE</w:t>
      </w:r>
    </w:p>
    <w:p w14:paraId="0C2B4BED" w14:textId="77777777" w:rsidR="00884C39" w:rsidRPr="006F5E42" w:rsidRDefault="00884C39">
      <w:pPr>
        <w:widowControl w:val="0"/>
        <w:autoSpaceDE w:val="0"/>
        <w:autoSpaceDN w:val="0"/>
        <w:adjustRightInd w:val="0"/>
        <w:spacing w:after="0" w:line="240" w:lineRule="auto"/>
        <w:rPr>
          <w:rFonts w:ascii="Arial" w:hAnsi="Arial" w:cs="Arial"/>
          <w:color w:val="000000"/>
          <w:kern w:val="0"/>
          <w:sz w:val="10"/>
          <w:szCs w:val="10"/>
          <w:lang w:val="it-IT"/>
        </w:rPr>
      </w:pPr>
    </w:p>
    <w:p w14:paraId="740C84E2"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sidRPr="006F5E42">
        <w:rPr>
          <w:rFonts w:ascii="Times New Roman" w:hAnsi="Times New Roman" w:cs="Times New Roman"/>
          <w:kern w:val="0"/>
          <w:lang w:val="it-IT"/>
        </w:rPr>
        <w:tab/>
      </w:r>
      <w:r>
        <w:rPr>
          <w:rFonts w:ascii="Arial" w:hAnsi="Arial" w:cs="Arial"/>
          <w:kern w:val="0"/>
          <w:sz w:val="16"/>
          <w:szCs w:val="16"/>
        </w:rPr>
        <w:t>3082 MATIÈRE DANGEREUSE DU POINT DE VUE DE L'ENVIRONNEMENT, LIQUIDE, N.S.A. (benzyl benzoate), 9, III</w:t>
      </w:r>
    </w:p>
    <w:p w14:paraId="1F52BE60"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3082 MATIÈRE DANGEREUSE DU POINT DE VUE DE L'ENVIRONNEMENT, LIQUIDE, N.S.A. (benzyl benzoate), 9, III</w:t>
      </w:r>
    </w:p>
    <w:p w14:paraId="445E2E7C" w14:textId="77777777" w:rsidR="00884C39" w:rsidRDefault="00884C3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3082 MATIÈRE DANGEREUSE DU POINT DE VUE DE L'ENVIRONNEMENT, LIQUIDE, N.S.A. (benzyl benzoate), 9, III</w:t>
      </w:r>
    </w:p>
    <w:p w14:paraId="6C2A1B11" w14:textId="77777777" w:rsidR="00884C39" w:rsidRDefault="00884C39">
      <w:pPr>
        <w:widowControl w:val="0"/>
        <w:autoSpaceDE w:val="0"/>
        <w:autoSpaceDN w:val="0"/>
        <w:adjustRightInd w:val="0"/>
        <w:spacing w:after="0" w:line="240" w:lineRule="auto"/>
        <w:rPr>
          <w:rFonts w:ascii="Verdana" w:hAnsi="Verdana" w:cs="Verdana"/>
          <w:color w:val="FFFFFF"/>
          <w:kern w:val="0"/>
          <w:sz w:val="17"/>
          <w:szCs w:val="17"/>
        </w:rPr>
      </w:pPr>
    </w:p>
    <w:p w14:paraId="265D5B15"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667BEA80"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436BF593" w14:textId="77777777">
        <w:trPr>
          <w:trHeight w:hRule="exact" w:val="334"/>
        </w:trPr>
        <w:tc>
          <w:tcPr>
            <w:tcW w:w="9640" w:type="dxa"/>
            <w:tcBorders>
              <w:top w:val="nil"/>
              <w:left w:val="nil"/>
              <w:bottom w:val="nil"/>
              <w:right w:val="nil"/>
            </w:tcBorders>
            <w:shd w:val="clear" w:color="auto" w:fill="FFFFFF"/>
            <w:vAlign w:val="center"/>
          </w:tcPr>
          <w:p w14:paraId="3AE02158"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14.2. Désignation officielle de transport de l'ONU</w:t>
            </w:r>
          </w:p>
        </w:tc>
      </w:tr>
    </w:tbl>
    <w:p w14:paraId="1FB8E29E"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2DA958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6A80701"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721A7D3"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1302A2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FCE3EE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6514112" w14:textId="77777777" w:rsidR="00884C39" w:rsidRDefault="00884C39">
      <w:pPr>
        <w:widowControl w:val="0"/>
        <w:autoSpaceDE w:val="0"/>
        <w:autoSpaceDN w:val="0"/>
        <w:adjustRightInd w:val="0"/>
        <w:spacing w:after="0" w:line="240" w:lineRule="auto"/>
        <w:rPr>
          <w:rFonts w:ascii="Arial" w:hAnsi="Arial" w:cs="Arial"/>
          <w:color w:val="000000"/>
          <w:kern w:val="0"/>
          <w:sz w:val="9"/>
          <w:szCs w:val="9"/>
        </w:rPr>
      </w:pPr>
    </w:p>
    <w:p w14:paraId="063A3F43"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8/10</w:t>
      </w:r>
    </w:p>
    <w:p w14:paraId="03999A2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36BB6F1C"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FA24DB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08BC5A3"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D29D07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38300FD2"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5737BF65"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6DBBEE9"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10B65BDD"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3EEEDC6A"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C8AB203"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1FDBFF53" w14:textId="77777777" w:rsidR="00884C39" w:rsidRDefault="00884C39">
      <w:pPr>
        <w:widowControl w:val="0"/>
        <w:autoSpaceDE w:val="0"/>
        <w:autoSpaceDN w:val="0"/>
        <w:adjustRightInd w:val="0"/>
        <w:spacing w:after="0" w:line="240" w:lineRule="auto"/>
        <w:rPr>
          <w:rFonts w:ascii="Arial" w:hAnsi="Arial" w:cs="Arial"/>
          <w:color w:val="000000"/>
          <w:kern w:val="0"/>
          <w:sz w:val="16"/>
          <w:szCs w:val="16"/>
        </w:rPr>
      </w:pPr>
    </w:p>
    <w:p w14:paraId="55DECBB9"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6F5E42">
        <w:rPr>
          <w:rFonts w:ascii="Arial" w:hAnsi="Arial" w:cs="Arial"/>
          <w:color w:val="000000"/>
          <w:kern w:val="0"/>
          <w:sz w:val="18"/>
          <w:szCs w:val="18"/>
          <w:lang w:val="it-IT"/>
        </w:rPr>
        <w:t>ADR : NON REGLEMENTE</w:t>
      </w:r>
    </w:p>
    <w:p w14:paraId="5F3A575D"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6F5E42">
        <w:rPr>
          <w:rFonts w:ascii="Arial" w:hAnsi="Arial" w:cs="Arial"/>
          <w:color w:val="000000"/>
          <w:kern w:val="0"/>
          <w:sz w:val="18"/>
          <w:szCs w:val="18"/>
          <w:lang w:val="it-IT"/>
        </w:rPr>
        <w:tab/>
        <w:t>IMDG:NON REGLEMENTE</w:t>
      </w:r>
    </w:p>
    <w:p w14:paraId="5C367ED9"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6F5E42">
        <w:rPr>
          <w:rFonts w:ascii="Arial" w:hAnsi="Arial" w:cs="Arial"/>
          <w:color w:val="000000"/>
          <w:kern w:val="0"/>
          <w:sz w:val="18"/>
          <w:szCs w:val="18"/>
          <w:lang w:val="it-IT"/>
        </w:rPr>
        <w:tab/>
        <w:t>IATA :NON REGLEMENTE</w:t>
      </w:r>
    </w:p>
    <w:p w14:paraId="5C78743B" w14:textId="77777777" w:rsidR="00884C39" w:rsidRPr="006F5E42" w:rsidRDefault="00884C39">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3F1F4879" w14:textId="77777777">
        <w:trPr>
          <w:trHeight w:hRule="exact" w:val="334"/>
        </w:trPr>
        <w:tc>
          <w:tcPr>
            <w:tcW w:w="9640" w:type="dxa"/>
            <w:tcBorders>
              <w:top w:val="nil"/>
              <w:left w:val="nil"/>
              <w:bottom w:val="nil"/>
              <w:right w:val="nil"/>
            </w:tcBorders>
            <w:shd w:val="clear" w:color="auto" w:fill="FFFFFF"/>
            <w:vAlign w:val="center"/>
          </w:tcPr>
          <w:p w14:paraId="140FD9B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6F5E42">
              <w:rPr>
                <w:rFonts w:ascii="Times New Roman" w:hAnsi="Times New Roman" w:cs="Times New Roman"/>
                <w:kern w:val="0"/>
                <w:lang w:val="it-IT"/>
              </w:rPr>
              <w:tab/>
            </w:r>
            <w:r>
              <w:rPr>
                <w:rFonts w:ascii="Arial" w:hAnsi="Arial" w:cs="Arial"/>
                <w:color w:val="000000"/>
                <w:kern w:val="0"/>
                <w:sz w:val="20"/>
                <w:szCs w:val="20"/>
              </w:rPr>
              <w:t>14.3. Classe(s) de danger pour le transport</w:t>
            </w:r>
          </w:p>
        </w:tc>
      </w:tr>
    </w:tbl>
    <w:p w14:paraId="6C6391EE"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2E2399E"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6F5E42">
        <w:rPr>
          <w:rFonts w:ascii="Arial" w:hAnsi="Arial" w:cs="Arial"/>
          <w:color w:val="000000"/>
          <w:kern w:val="0"/>
          <w:sz w:val="18"/>
          <w:szCs w:val="18"/>
          <w:lang w:val="it-IT"/>
        </w:rPr>
        <w:t>ADR : NON REGLEMENTE</w:t>
      </w:r>
    </w:p>
    <w:p w14:paraId="7BC93A70"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6F5E42">
        <w:rPr>
          <w:rFonts w:ascii="Arial" w:hAnsi="Arial" w:cs="Arial"/>
          <w:color w:val="000000"/>
          <w:kern w:val="0"/>
          <w:sz w:val="18"/>
          <w:szCs w:val="18"/>
          <w:lang w:val="it-IT"/>
        </w:rPr>
        <w:tab/>
        <w:t>IMDG:NON REGLEMENTE</w:t>
      </w:r>
    </w:p>
    <w:p w14:paraId="71D3C4EF" w14:textId="77777777" w:rsidR="00884C39" w:rsidRPr="006F5E42"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6F5E42">
        <w:rPr>
          <w:rFonts w:ascii="Arial" w:hAnsi="Arial" w:cs="Arial"/>
          <w:color w:val="000000"/>
          <w:kern w:val="0"/>
          <w:sz w:val="18"/>
          <w:szCs w:val="18"/>
          <w:lang w:val="it-IT"/>
        </w:rPr>
        <w:tab/>
        <w:t>IATA :NON REGLEMENTE</w:t>
      </w:r>
    </w:p>
    <w:p w14:paraId="2B504BBE" w14:textId="77777777" w:rsidR="00884C39" w:rsidRPr="006F5E42" w:rsidRDefault="00884C39">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8A44A05" w14:textId="77777777">
        <w:trPr>
          <w:trHeight w:hRule="exact" w:val="334"/>
        </w:trPr>
        <w:tc>
          <w:tcPr>
            <w:tcW w:w="9640" w:type="dxa"/>
            <w:tcBorders>
              <w:top w:val="nil"/>
              <w:left w:val="nil"/>
              <w:bottom w:val="nil"/>
              <w:right w:val="nil"/>
            </w:tcBorders>
            <w:shd w:val="clear" w:color="auto" w:fill="FFFFFF"/>
            <w:vAlign w:val="center"/>
          </w:tcPr>
          <w:p w14:paraId="42768A4B"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6F5E42">
              <w:rPr>
                <w:rFonts w:ascii="Times New Roman" w:hAnsi="Times New Roman" w:cs="Times New Roman"/>
                <w:kern w:val="0"/>
                <w:lang w:val="it-IT"/>
              </w:rPr>
              <w:tab/>
            </w:r>
            <w:r>
              <w:rPr>
                <w:rFonts w:ascii="Arial" w:hAnsi="Arial" w:cs="Arial"/>
                <w:color w:val="000000"/>
                <w:kern w:val="0"/>
                <w:sz w:val="20"/>
                <w:szCs w:val="20"/>
              </w:rPr>
              <w:t>14.4. Groupe d’emballage</w:t>
            </w:r>
          </w:p>
        </w:tc>
      </w:tr>
    </w:tbl>
    <w:p w14:paraId="0C7E1871"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5C7C56DB"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ADR : NON REGLEMENTE</w:t>
      </w:r>
    </w:p>
    <w:p w14:paraId="291CE50E"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IMDG:NON REGLEMENTE</w:t>
      </w:r>
    </w:p>
    <w:p w14:paraId="548C073A"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IATA :NON REGLEMENTE</w:t>
      </w:r>
    </w:p>
    <w:p w14:paraId="21DD4ED6"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4AAFC7DC" w14:textId="77777777">
        <w:trPr>
          <w:trHeight w:hRule="exact" w:val="334"/>
        </w:trPr>
        <w:tc>
          <w:tcPr>
            <w:tcW w:w="9640" w:type="dxa"/>
            <w:tcBorders>
              <w:top w:val="nil"/>
              <w:left w:val="nil"/>
              <w:bottom w:val="nil"/>
              <w:right w:val="nil"/>
            </w:tcBorders>
            <w:shd w:val="clear" w:color="auto" w:fill="FFFFFF"/>
            <w:vAlign w:val="center"/>
          </w:tcPr>
          <w:p w14:paraId="4226199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14.5. Dangers pour l’environnement</w:t>
            </w:r>
          </w:p>
        </w:tc>
      </w:tr>
    </w:tbl>
    <w:p w14:paraId="2CC89F3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27918D4D"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IMDG : NON REGLEMENTE</w:t>
      </w:r>
    </w:p>
    <w:p w14:paraId="47F8AD51"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5756317" w14:textId="77777777">
        <w:trPr>
          <w:trHeight w:hRule="exact" w:val="334"/>
        </w:trPr>
        <w:tc>
          <w:tcPr>
            <w:tcW w:w="9640" w:type="dxa"/>
            <w:tcBorders>
              <w:top w:val="nil"/>
              <w:left w:val="nil"/>
              <w:bottom w:val="nil"/>
              <w:right w:val="nil"/>
            </w:tcBorders>
            <w:shd w:val="clear" w:color="auto" w:fill="FFFFFF"/>
            <w:vAlign w:val="center"/>
          </w:tcPr>
          <w:p w14:paraId="2A1DD4B1"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14.6. Précautions particulières à prendre par l’utilisateur</w:t>
            </w:r>
          </w:p>
        </w:tc>
      </w:tr>
    </w:tbl>
    <w:p w14:paraId="7CF0F6AB"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333ED77"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6F7A3162"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5835ABEA" w14:textId="77777777">
        <w:trPr>
          <w:trHeight w:hRule="exact" w:val="334"/>
        </w:trPr>
        <w:tc>
          <w:tcPr>
            <w:tcW w:w="9640" w:type="dxa"/>
            <w:tcBorders>
              <w:top w:val="nil"/>
              <w:left w:val="nil"/>
              <w:bottom w:val="nil"/>
              <w:right w:val="nil"/>
            </w:tcBorders>
            <w:shd w:val="clear" w:color="auto" w:fill="FFFFFF"/>
            <w:vAlign w:val="center"/>
          </w:tcPr>
          <w:p w14:paraId="3DC56161"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14.7. Transport maritime en vrac conformément aux instruments de l’OMI</w:t>
            </w:r>
          </w:p>
        </w:tc>
      </w:tr>
    </w:tbl>
    <w:p w14:paraId="117F5B4E"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5DDE7C07"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3B48F754" w14:textId="77777777" w:rsidR="00884C39" w:rsidRDefault="00884C3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6C52829A"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94522BC"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15: INFORMATIONS RELATIVES A LA REGLEMENTATION</w:t>
            </w:r>
          </w:p>
        </w:tc>
      </w:tr>
    </w:tbl>
    <w:p w14:paraId="346934F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43220501" w14:textId="77777777" w:rsidR="00884C39" w:rsidRDefault="00884C3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6CB8981A" w14:textId="77777777">
        <w:trPr>
          <w:trHeight w:hRule="exact" w:val="555"/>
        </w:trPr>
        <w:tc>
          <w:tcPr>
            <w:tcW w:w="9640" w:type="dxa"/>
            <w:tcBorders>
              <w:top w:val="nil"/>
              <w:left w:val="nil"/>
              <w:bottom w:val="nil"/>
              <w:right w:val="nil"/>
            </w:tcBorders>
            <w:shd w:val="clear" w:color="auto" w:fill="FFFFFF"/>
            <w:vAlign w:val="center"/>
          </w:tcPr>
          <w:p w14:paraId="0B26DB52"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15.1. Réglementations/législation particulières à la substance ou au mélange en matière de sécurité, de santé et d'environnement</w:t>
            </w:r>
          </w:p>
        </w:tc>
      </w:tr>
    </w:tbl>
    <w:p w14:paraId="00B009F2"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C7A3CFC"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788298F7" w14:textId="77777777" w:rsidR="00884C39" w:rsidRDefault="00884C39">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Verdana" w:hAnsi="Verdana" w:cs="Verdana"/>
          <w:kern w:val="0"/>
          <w:sz w:val="17"/>
          <w:szCs w:val="17"/>
        </w:rPr>
        <w:t>Règlements de l'UE:</w:t>
      </w:r>
    </w:p>
    <w:p w14:paraId="4533260E"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5647B755"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18512653"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7C380DF3"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0D7C0E47"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6B3C7BF4"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0A6C2865"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 xml:space="preserve">Autre législation de l'UE: </w:t>
      </w:r>
    </w:p>
    <w:p w14:paraId="72565BC4"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DIRECTIVE 2008/98/CE DU PARLEMENT EUROPÉEN ET DU CONSEIL du 19 novembre 2008 relative aux déchets et abrogeant certaines directives.</w:t>
      </w:r>
    </w:p>
    <w:p w14:paraId="760B6D6E"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2F71FF49"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435B63C5"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300DB" w14:paraId="78C9641A" w14:textId="77777777">
        <w:trPr>
          <w:trHeight w:hRule="exact" w:val="334"/>
        </w:trPr>
        <w:tc>
          <w:tcPr>
            <w:tcW w:w="9640" w:type="dxa"/>
            <w:tcBorders>
              <w:top w:val="nil"/>
              <w:left w:val="nil"/>
              <w:bottom w:val="nil"/>
              <w:right w:val="nil"/>
            </w:tcBorders>
            <w:shd w:val="clear" w:color="auto" w:fill="FFFFFF"/>
            <w:vAlign w:val="center"/>
          </w:tcPr>
          <w:p w14:paraId="240F44A6"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15.2. Évaluation de la sécurité chimique</w:t>
            </w:r>
          </w:p>
        </w:tc>
      </w:tr>
    </w:tbl>
    <w:p w14:paraId="61122471"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00CEB9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5AB64F27"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F076276"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95913CB"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69594529"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20BF1DD3" w14:textId="77777777" w:rsidR="00884C39" w:rsidRDefault="00884C39">
      <w:pPr>
        <w:widowControl w:val="0"/>
        <w:autoSpaceDE w:val="0"/>
        <w:autoSpaceDN w:val="0"/>
        <w:adjustRightInd w:val="0"/>
        <w:spacing w:after="0" w:line="240" w:lineRule="auto"/>
        <w:rPr>
          <w:rFonts w:ascii="Arial" w:hAnsi="Arial" w:cs="Arial"/>
          <w:color w:val="000000"/>
          <w:kern w:val="0"/>
          <w:sz w:val="9"/>
          <w:szCs w:val="9"/>
        </w:rPr>
      </w:pPr>
    </w:p>
    <w:p w14:paraId="5EE7D8A7"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9/10</w:t>
      </w:r>
    </w:p>
    <w:p w14:paraId="7F6F76ED"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72325064"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F42F48F"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16ACB88A"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7B304E83" w14:textId="77777777" w:rsidR="00884C39" w:rsidRDefault="00884C39">
      <w:pPr>
        <w:widowControl w:val="0"/>
        <w:autoSpaceDE w:val="0"/>
        <w:autoSpaceDN w:val="0"/>
        <w:adjustRightInd w:val="0"/>
        <w:spacing w:after="0" w:line="240" w:lineRule="auto"/>
        <w:rPr>
          <w:rFonts w:ascii="Arial" w:hAnsi="Arial" w:cs="Arial"/>
          <w:color w:val="000000"/>
          <w:kern w:val="0"/>
          <w:sz w:val="20"/>
          <w:szCs w:val="20"/>
        </w:rPr>
      </w:pPr>
    </w:p>
    <w:p w14:paraId="0740E344" w14:textId="77777777" w:rsidR="00884C39" w:rsidRDefault="00884C3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300DB" w14:paraId="4EE28417"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F5B5BED" w14:textId="77777777" w:rsidR="00884C39" w:rsidRDefault="00884C3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62F23CE5" w14:textId="77777777" w:rsidR="00884C39" w:rsidRDefault="00884C39">
      <w:pPr>
        <w:widowControl w:val="0"/>
        <w:autoSpaceDE w:val="0"/>
        <w:autoSpaceDN w:val="0"/>
        <w:adjustRightInd w:val="0"/>
        <w:spacing w:after="0" w:line="240" w:lineRule="auto"/>
        <w:rPr>
          <w:rFonts w:ascii="Arial" w:hAnsi="Arial" w:cs="Arial"/>
          <w:color w:val="000000"/>
          <w:kern w:val="0"/>
          <w:sz w:val="36"/>
          <w:szCs w:val="36"/>
        </w:rPr>
      </w:pPr>
    </w:p>
    <w:p w14:paraId="02171588"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4AA1AAF1" w14:textId="77777777" w:rsidR="00884C39" w:rsidRDefault="00884C3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26/03/2025</w:t>
      </w:r>
      <w:r>
        <w:rPr>
          <w:rFonts w:ascii="Times New Roman" w:hAnsi="Times New Roman" w:cs="Times New Roman"/>
          <w:kern w:val="0"/>
        </w:rPr>
        <w:tab/>
      </w:r>
      <w:r>
        <w:rPr>
          <w:rFonts w:ascii="Arial" w:hAnsi="Arial" w:cs="Arial"/>
          <w:color w:val="000000"/>
          <w:kern w:val="0"/>
          <w:sz w:val="16"/>
          <w:szCs w:val="16"/>
        </w:rPr>
        <w:t>FRAMBOISE LITCHI 7%</w:t>
      </w:r>
      <w:r>
        <w:rPr>
          <w:rFonts w:ascii="Times New Roman" w:hAnsi="Times New Roman" w:cs="Times New Roman"/>
          <w:kern w:val="0"/>
        </w:rPr>
        <w:tab/>
      </w:r>
      <w:r>
        <w:rPr>
          <w:rFonts w:ascii="Arial" w:hAnsi="Arial" w:cs="Arial"/>
          <w:color w:val="000000"/>
          <w:kern w:val="0"/>
          <w:sz w:val="16"/>
          <w:szCs w:val="16"/>
        </w:rPr>
        <w:t>Révision : FDS_CLIENT-1-CLP du 26/03/2025</w:t>
      </w:r>
    </w:p>
    <w:p w14:paraId="3727C3A8" w14:textId="77777777" w:rsidR="00884C39" w:rsidRDefault="00884C39">
      <w:pPr>
        <w:widowControl w:val="0"/>
        <w:autoSpaceDE w:val="0"/>
        <w:autoSpaceDN w:val="0"/>
        <w:adjustRightInd w:val="0"/>
        <w:spacing w:after="0" w:line="240" w:lineRule="auto"/>
        <w:rPr>
          <w:rFonts w:ascii="Arial" w:hAnsi="Arial" w:cs="Arial"/>
          <w:color w:val="000000"/>
          <w:kern w:val="0"/>
          <w:sz w:val="16"/>
          <w:szCs w:val="16"/>
        </w:rPr>
      </w:pPr>
    </w:p>
    <w:p w14:paraId="0B89E84A" w14:textId="77777777" w:rsidR="00884C39" w:rsidRDefault="00884C39">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Arial" w:hAnsi="Arial" w:cs="Arial"/>
          <w:kern w:val="0"/>
          <w:sz w:val="20"/>
          <w:szCs w:val="20"/>
        </w:rPr>
        <w:t>Aucune évaluation de la sécurité chimique n'a été réalisée pour cette substance/ce mélange par le fournisseur.</w:t>
      </w:r>
    </w:p>
    <w:p w14:paraId="44A113B5" w14:textId="77777777" w:rsidR="00884C39" w:rsidRDefault="00884C39">
      <w:pPr>
        <w:widowControl w:val="0"/>
        <w:autoSpaceDE w:val="0"/>
        <w:autoSpaceDN w:val="0"/>
        <w:adjustRightInd w:val="0"/>
        <w:spacing w:after="0" w:line="240" w:lineRule="auto"/>
        <w:rPr>
          <w:rFonts w:ascii="Arial" w:hAnsi="Arial" w:cs="Arial"/>
          <w:color w:val="FFFFFF"/>
          <w:kern w:val="0"/>
          <w:sz w:val="20"/>
          <w:szCs w:val="20"/>
        </w:rPr>
      </w:pPr>
    </w:p>
    <w:p w14:paraId="727DE2C3" w14:textId="77777777" w:rsidR="00884C39" w:rsidRDefault="00884C39">
      <w:pPr>
        <w:widowControl w:val="0"/>
        <w:autoSpaceDE w:val="0"/>
        <w:autoSpaceDN w:val="0"/>
        <w:adjustRightInd w:val="0"/>
        <w:spacing w:after="0" w:line="240" w:lineRule="auto"/>
        <w:rPr>
          <w:rFonts w:ascii="Verdana" w:hAnsi="Verdana" w:cs="Verdana"/>
          <w:color w:val="FFFFFF"/>
          <w:kern w:val="0"/>
          <w:sz w:val="17"/>
          <w:szCs w:val="17"/>
        </w:rPr>
      </w:pPr>
    </w:p>
    <w:p w14:paraId="62715523"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300DB" w14:paraId="07095453"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0DC1B1F" w14:textId="77777777" w:rsidR="00884C39" w:rsidRDefault="00884C3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16: AUTRES INFORMATIONS</w:t>
            </w:r>
          </w:p>
        </w:tc>
      </w:tr>
    </w:tbl>
    <w:p w14:paraId="0BF4A263" w14:textId="77777777" w:rsidR="00884C39" w:rsidRDefault="00884C39">
      <w:pPr>
        <w:widowControl w:val="0"/>
        <w:autoSpaceDE w:val="0"/>
        <w:autoSpaceDN w:val="0"/>
        <w:adjustRightInd w:val="0"/>
        <w:spacing w:after="0" w:line="240" w:lineRule="auto"/>
        <w:rPr>
          <w:rFonts w:ascii="Arial" w:hAnsi="Arial" w:cs="Arial"/>
          <w:color w:val="000000"/>
          <w:kern w:val="0"/>
          <w:sz w:val="22"/>
          <w:szCs w:val="22"/>
        </w:rPr>
      </w:pPr>
    </w:p>
    <w:p w14:paraId="43066637" w14:textId="77777777" w:rsidR="00884C39" w:rsidRDefault="00884C39">
      <w:pPr>
        <w:widowControl w:val="0"/>
        <w:autoSpaceDE w:val="0"/>
        <w:autoSpaceDN w:val="0"/>
        <w:adjustRightInd w:val="0"/>
        <w:spacing w:after="0" w:line="240" w:lineRule="auto"/>
        <w:rPr>
          <w:rFonts w:ascii="Arial" w:hAnsi="Arial" w:cs="Arial"/>
          <w:color w:val="000000"/>
          <w:kern w:val="0"/>
          <w:sz w:val="10"/>
          <w:szCs w:val="10"/>
        </w:rPr>
      </w:pPr>
    </w:p>
    <w:p w14:paraId="678C12EF"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Abréviations et acronymes:</w:t>
      </w:r>
    </w:p>
    <w:p w14:paraId="03BF5B8E"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ADN: Accord européen relatif au transport international des marchandises Dangereuses par voie de Navigation intérieure.</w:t>
      </w:r>
    </w:p>
    <w:p w14:paraId="5F280C4F"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ADR: european Agreement concerning the international carriage of Dangerous goods by Road.</w:t>
      </w:r>
    </w:p>
    <w:p w14:paraId="1E6D159B"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CAS: Chemical Abstracts Service.</w:t>
      </w:r>
    </w:p>
    <w:p w14:paraId="59E2AC28"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 Commission Européenne.</w:t>
      </w:r>
    </w:p>
    <w:p w14:paraId="67F353FE"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CED: Catalogue Européen des Déchets.</w:t>
      </w:r>
    </w:p>
    <w:p w14:paraId="7CEA32D4"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CEE: Communauté Economique Européenne.</w:t>
      </w:r>
    </w:p>
    <w:p w14:paraId="3FACDD03"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CLP: Classification, Labelling, Packaging.</w:t>
      </w:r>
    </w:p>
    <w:p w14:paraId="65A78871"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EINECS: European INventory of Existing Commercial chemical Substances.</w:t>
      </w:r>
    </w:p>
    <w:p w14:paraId="672A3469"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GHS: Global Harmonized System.</w:t>
      </w:r>
    </w:p>
    <w:p w14:paraId="5929866C"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IATA-DGR : International Air Transport Association - Dangerous Goods Regulations.</w:t>
      </w:r>
    </w:p>
    <w:p w14:paraId="2916B4C1"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IBC: International Code for the Construction and Equipment of Ships Carrying Dangerous Chemicals in Bulk.</w:t>
      </w:r>
    </w:p>
    <w:p w14:paraId="67210995"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ICAO-TI: International Civil Aviation Organization - Technical Instructions.</w:t>
      </w:r>
    </w:p>
    <w:p w14:paraId="79797F2E"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IMDG : International Maritime Dangerous Goods.</w:t>
      </w:r>
    </w:p>
    <w:p w14:paraId="4510F0AF"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OMI: Organisation Maritime Internationale.</w:t>
      </w:r>
    </w:p>
    <w:p w14:paraId="35EE55D9"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ONU: Organisation des Nations Unies.</w:t>
      </w:r>
    </w:p>
    <w:p w14:paraId="13602B5E"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PBT: Persistent, Bioaccumulative, Toxic.</w:t>
      </w:r>
    </w:p>
    <w:p w14:paraId="6B6C7E34"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REACH: Registration, Evaluation, Authorisation and Restriction of CHemicals.</w:t>
      </w:r>
    </w:p>
    <w:p w14:paraId="3C326E8D" w14:textId="77777777" w:rsidR="00884C39" w:rsidRPr="006F5E42" w:rsidRDefault="00884C39">
      <w:pPr>
        <w:widowControl w:val="0"/>
        <w:autoSpaceDE w:val="0"/>
        <w:autoSpaceDN w:val="0"/>
        <w:adjustRightInd w:val="0"/>
        <w:spacing w:after="0" w:line="240" w:lineRule="auto"/>
        <w:jc w:val="both"/>
        <w:rPr>
          <w:rFonts w:ascii="Arial" w:hAnsi="Arial" w:cs="Arial"/>
          <w:color w:val="FFFFFF"/>
          <w:kern w:val="0"/>
          <w:sz w:val="20"/>
          <w:szCs w:val="20"/>
          <w:lang w:val="en-US"/>
        </w:rPr>
      </w:pPr>
      <w:r w:rsidRPr="006F5E42">
        <w:rPr>
          <w:rFonts w:ascii="Arial" w:hAnsi="Arial" w:cs="Arial"/>
          <w:kern w:val="0"/>
          <w:sz w:val="20"/>
          <w:szCs w:val="20"/>
          <w:lang w:val="en-US"/>
        </w:rPr>
        <w:t>RID: Regulations concerning the International carriage of Dangerous goods by rail.</w:t>
      </w:r>
    </w:p>
    <w:p w14:paraId="75C7F328"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UE: Union Européenne.</w:t>
      </w:r>
    </w:p>
    <w:p w14:paraId="12C840DE"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vPvB: very Persistent, very Bioaccumulative.</w:t>
      </w:r>
    </w:p>
    <w:p w14:paraId="276D3787"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p>
    <w:p w14:paraId="23F7F655"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renseignements contenus dans cette fiche sont basés sur l'état de nos connaissances relatives au produit concerné au moment de l'émission de cette fiche.</w:t>
      </w:r>
    </w:p>
    <w:p w14:paraId="7AB1EEDF"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L'attention des utilisateurs est en outre attirée sur les risques éventuellement encourus lorsqu'un produit est utilisé à un usage autre que celui pour lequel il a été conçu.</w:t>
      </w:r>
    </w:p>
    <w:p w14:paraId="1725D29B" w14:textId="77777777" w:rsidR="00884C39" w:rsidRDefault="00884C3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Ces indications sont fondées sur l'état actuel de nos connaissances, mais ne constituent pas une garantie quant aux propriétés du produit et ne donnent pas lieu à une relation juridique contractuelle.</w:t>
      </w:r>
    </w:p>
    <w:p w14:paraId="210D45E0" w14:textId="77777777" w:rsidR="00884C39" w:rsidRDefault="00884C39">
      <w:pPr>
        <w:widowControl w:val="0"/>
        <w:autoSpaceDE w:val="0"/>
        <w:autoSpaceDN w:val="0"/>
        <w:adjustRightInd w:val="0"/>
        <w:spacing w:after="0" w:line="240" w:lineRule="auto"/>
        <w:jc w:val="both"/>
        <w:rPr>
          <w:rFonts w:ascii="Verdana" w:hAnsi="Verdana" w:cs="Verdana"/>
          <w:color w:val="FFFFFF"/>
          <w:kern w:val="0"/>
          <w:sz w:val="17"/>
          <w:szCs w:val="17"/>
        </w:rPr>
      </w:pPr>
    </w:p>
    <w:p w14:paraId="153E5362" w14:textId="77777777" w:rsidR="00884C39" w:rsidRDefault="00884C39">
      <w:pPr>
        <w:widowControl w:val="0"/>
        <w:autoSpaceDE w:val="0"/>
        <w:autoSpaceDN w:val="0"/>
        <w:adjustRightInd w:val="0"/>
        <w:spacing w:after="0" w:line="240" w:lineRule="auto"/>
        <w:rPr>
          <w:rFonts w:ascii="MS Shell Dlg" w:hAnsi="MS Shell Dlg" w:cs="MS Shell Dlg"/>
          <w:kern w:val="0"/>
          <w:sz w:val="17"/>
          <w:szCs w:val="17"/>
        </w:rPr>
      </w:pPr>
    </w:p>
    <w:p w14:paraId="13118223" w14:textId="77777777" w:rsidR="00884C39" w:rsidRDefault="00884C39">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21BA40A6"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14EE22C"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4A47587F"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2E1AE7EA"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593FD0E6"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03E000B"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65945C78"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7AC4376"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76A4BBE3"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28C8F23F"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40021B40"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2BDC4137"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3BBEA217"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1B5D0E4C"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5BFA2717"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26BA8103"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0B33AA25" w14:textId="77777777" w:rsidR="00884C39" w:rsidRDefault="00884C39">
      <w:pPr>
        <w:widowControl w:val="0"/>
        <w:autoSpaceDE w:val="0"/>
        <w:autoSpaceDN w:val="0"/>
        <w:adjustRightInd w:val="0"/>
        <w:spacing w:after="0" w:line="240" w:lineRule="auto"/>
        <w:rPr>
          <w:rFonts w:ascii="Times New Roman" w:hAnsi="Times New Roman" w:cs="Times New Roman"/>
          <w:kern w:val="0"/>
          <w:sz w:val="20"/>
          <w:szCs w:val="20"/>
        </w:rPr>
      </w:pPr>
    </w:p>
    <w:p w14:paraId="5812F1DB" w14:textId="77777777" w:rsidR="00884C39" w:rsidRDefault="00884C39">
      <w:pPr>
        <w:widowControl w:val="0"/>
        <w:autoSpaceDE w:val="0"/>
        <w:autoSpaceDN w:val="0"/>
        <w:adjustRightInd w:val="0"/>
        <w:spacing w:after="0" w:line="240" w:lineRule="auto"/>
        <w:rPr>
          <w:rFonts w:ascii="Times New Roman" w:hAnsi="Times New Roman" w:cs="Times New Roman"/>
          <w:kern w:val="0"/>
          <w:sz w:val="5"/>
          <w:szCs w:val="5"/>
        </w:rPr>
      </w:pPr>
    </w:p>
    <w:p w14:paraId="69D54309" w14:textId="77777777" w:rsidR="00884C39" w:rsidRDefault="00884C3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10/10</w:t>
      </w:r>
    </w:p>
    <w:sectPr w:rsidR="00884C39">
      <w:pgSz w:w="11907" w:h="16839" w:code="9"/>
      <w:pgMar w:top="0" w:right="1134" w:bottom="567"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Shell Dlg">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56"/>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426"/>
    <w:rsid w:val="00611426"/>
    <w:rsid w:val="006F5E42"/>
    <w:rsid w:val="00884C39"/>
    <w:rsid w:val="008D06FA"/>
    <w:rsid w:val="00981989"/>
    <w:rsid w:val="00A300D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F90024"/>
  <w14:defaultImageDpi w14:val="0"/>
  <w15:docId w15:val="{1E2F5CFD-E08C-4641-82FE-AFE7960BE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2592</Words>
  <Characters>16445</Characters>
  <Application>Microsoft Office Word</Application>
  <DocSecurity>0</DocSecurity>
  <Lines>137</Lines>
  <Paragraphs>37</Paragraphs>
  <ScaleCrop>false</ScaleCrop>
  <Company/>
  <LinksUpToDate>false</LinksUpToDate>
  <CharactersWithSpaces>19000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Coralie</dc:creator>
  <cp:keywords/>
  <dc:description/>
  <cp:lastModifiedBy>Héléne - L'instant Bougies</cp:lastModifiedBy>
  <cp:revision>3</cp:revision>
  <dcterms:created xsi:type="dcterms:W3CDTF">2025-03-26T13:43:00Z</dcterms:created>
  <dcterms:modified xsi:type="dcterms:W3CDTF">2025-03-26T14:28:00Z</dcterms:modified>
</cp:coreProperties>
</file>